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FA899"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APPEL À MANIFESTATION D'INTÉRÊT ET À PROPOSITIONS GFF x CIVIC PILIER 2 : FAIRE PROGRESSER LES INNOVATIONS LOCALES EN MATIÈRE DE SANTÉ ET DE NUTRITION DES ADOLESCENTS (ALIGN)</w:t>
      </w:r>
    </w:p>
    <w:p w14:paraId="41E3D7E3" w14:textId="77777777" w:rsidR="00E25B9F" w:rsidRPr="0020222E" w:rsidRDefault="00E25B9F">
      <w:pPr>
        <w:pBdr>
          <w:top w:val="nil"/>
          <w:left w:val="nil"/>
          <w:bottom w:val="nil"/>
          <w:right w:val="nil"/>
          <w:between w:val="nil"/>
        </w:pBdr>
        <w:spacing w:line="275" w:lineRule="auto"/>
        <w:rPr>
          <w:rFonts w:ascii="Google Sans" w:eastAsia="Google Sans" w:hAnsi="Google Sans" w:cs="Google Sans"/>
          <w:color w:val="1F1F1F"/>
          <w:lang w:val="fr-FR"/>
        </w:rPr>
      </w:pPr>
    </w:p>
    <w:tbl>
      <w:tblPr>
        <w:tblStyle w:val="a"/>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4680"/>
        <w:gridCol w:w="4680"/>
      </w:tblGrid>
      <w:tr w:rsidR="00E25B9F" w14:paraId="14600FA0" w14:textId="77777777">
        <w:tc>
          <w:tcPr>
            <w:tcW w:w="468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5CDE054A"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Titre</w:t>
            </w:r>
            <w:proofErr w:type="spellEnd"/>
          </w:p>
        </w:tc>
        <w:tc>
          <w:tcPr>
            <w:tcW w:w="468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4C7DE251"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Détails</w:t>
            </w:r>
            <w:proofErr w:type="spellEnd"/>
          </w:p>
        </w:tc>
      </w:tr>
      <w:tr w:rsidR="00E25B9F" w14:paraId="5ADEDB3F"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4442A91"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Date de publication</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21D46C"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6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14:paraId="782BFE21"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28DD994"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Date limite de soumission de l'AMI (Manifestation d'Intérêt)</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E0C681"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21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14:paraId="7C385820"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AC12BD4"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Date d'annonce des résultats de l'AMI</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FBB36F5"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2 </w:t>
            </w:r>
            <w:proofErr w:type="spellStart"/>
            <w:r>
              <w:rPr>
                <w:rFonts w:ascii="Google Sans" w:eastAsia="Google Sans" w:hAnsi="Google Sans" w:cs="Google Sans"/>
                <w:color w:val="1F1F1F"/>
              </w:rPr>
              <w:t>novembre</w:t>
            </w:r>
            <w:proofErr w:type="spellEnd"/>
            <w:r>
              <w:rPr>
                <w:rFonts w:ascii="Google Sans" w:eastAsia="Google Sans" w:hAnsi="Google Sans" w:cs="Google Sans"/>
                <w:color w:val="1F1F1F"/>
              </w:rPr>
              <w:t xml:space="preserve"> 2026</w:t>
            </w:r>
          </w:p>
        </w:tc>
      </w:tr>
      <w:tr w:rsidR="00E25B9F" w14:paraId="59B73932"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99BF09"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Date limite de la proposition complète</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D42760A"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16 </w:t>
            </w:r>
            <w:proofErr w:type="spellStart"/>
            <w:r>
              <w:rPr>
                <w:rFonts w:ascii="Google Sans" w:eastAsia="Google Sans" w:hAnsi="Google Sans" w:cs="Google Sans"/>
                <w:color w:val="1F1F1F"/>
              </w:rPr>
              <w:t>novembre</w:t>
            </w:r>
            <w:proofErr w:type="spellEnd"/>
            <w:r>
              <w:rPr>
                <w:rFonts w:ascii="Google Sans" w:eastAsia="Google Sans" w:hAnsi="Google Sans" w:cs="Google Sans"/>
                <w:color w:val="1F1F1F"/>
              </w:rPr>
              <w:t xml:space="preserve"> 2026</w:t>
            </w:r>
          </w:p>
        </w:tc>
      </w:tr>
      <w:tr w:rsidR="00E25B9F" w:rsidRPr="0020222E" w14:paraId="6AAE0DA0"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1A0BA7"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Géographie</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éligible</w:t>
            </w:r>
            <w:proofErr w:type="spellEnd"/>
            <w:r>
              <w:rPr>
                <w:rFonts w:ascii="Google Sans" w:eastAsia="Google Sans" w:hAnsi="Google Sans" w:cs="Google Sans"/>
                <w:color w:val="1F1F1F"/>
              </w:rPr>
              <w:t xml:space="preserve"> / pays </w:t>
            </w:r>
            <w:proofErr w:type="spellStart"/>
            <w:r>
              <w:rPr>
                <w:rFonts w:ascii="Google Sans" w:eastAsia="Google Sans" w:hAnsi="Google Sans" w:cs="Google Sans"/>
                <w:color w:val="1F1F1F"/>
              </w:rPr>
              <w:t>éligibles</w:t>
            </w:r>
            <w:proofErr w:type="spellEnd"/>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33DF35D"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Côte d’Ivoire, Éthiopie, Madagascar, Mauritanie, Niger, Nigeria, Sénégal, Somalie, Tanzanie, Ouganda, Zambie et Zimbabwe</w:t>
            </w:r>
          </w:p>
        </w:tc>
      </w:tr>
      <w:tr w:rsidR="00E25B9F" w:rsidRPr="0020222E" w14:paraId="1884069E"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24DA0F9"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Montant de la sous-subvention par attribution</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7252EDF"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214 000 USD, y compris les frais généraux ne dépassant pas 7 %</w:t>
            </w:r>
          </w:p>
        </w:tc>
      </w:tr>
      <w:tr w:rsidR="00E25B9F" w14:paraId="6C36A1B1"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BFE9A91"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Nombre </w:t>
            </w:r>
            <w:proofErr w:type="spellStart"/>
            <w:r>
              <w:rPr>
                <w:rFonts w:ascii="Google Sans" w:eastAsia="Google Sans" w:hAnsi="Google Sans" w:cs="Google Sans"/>
                <w:color w:val="1F1F1F"/>
              </w:rPr>
              <w:t>attendu</w:t>
            </w:r>
            <w:proofErr w:type="spellEnd"/>
            <w:r>
              <w:rPr>
                <w:rFonts w:ascii="Google Sans" w:eastAsia="Google Sans" w:hAnsi="Google Sans" w:cs="Google Sans"/>
                <w:color w:val="1F1F1F"/>
              </w:rPr>
              <w:t xml:space="preserve"> de </w:t>
            </w:r>
            <w:proofErr w:type="gramStart"/>
            <w:r>
              <w:rPr>
                <w:rFonts w:ascii="Google Sans" w:eastAsia="Google Sans" w:hAnsi="Google Sans" w:cs="Google Sans"/>
                <w:color w:val="1F1F1F"/>
              </w:rPr>
              <w:t>subventions :</w:t>
            </w:r>
            <w:proofErr w:type="gramEnd"/>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17C64E0"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12</w:t>
            </w:r>
          </w:p>
        </w:tc>
      </w:tr>
      <w:tr w:rsidR="00E25B9F" w:rsidRPr="0020222E" w14:paraId="53837FC9"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E5E59C"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Organisation</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émettrice</w:t>
            </w:r>
            <w:proofErr w:type="spellEnd"/>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CA65123"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Action Contre la Faim (ACF)</w:t>
            </w:r>
          </w:p>
        </w:tc>
      </w:tr>
      <w:tr w:rsidR="00E25B9F" w14:paraId="762BA7C2"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6CA1436"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Date de début et durée de l'attribution :</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17665C9"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30 </w:t>
            </w:r>
            <w:proofErr w:type="spellStart"/>
            <w:r>
              <w:rPr>
                <w:rFonts w:ascii="Google Sans" w:eastAsia="Google Sans" w:hAnsi="Google Sans" w:cs="Google Sans"/>
                <w:color w:val="1F1F1F"/>
              </w:rPr>
              <w:t>novembre</w:t>
            </w:r>
            <w:proofErr w:type="spellEnd"/>
            <w:r>
              <w:rPr>
                <w:rFonts w:ascii="Google Sans" w:eastAsia="Google Sans" w:hAnsi="Google Sans" w:cs="Google Sans"/>
                <w:color w:val="1F1F1F"/>
              </w:rPr>
              <w:t xml:space="preserve"> </w:t>
            </w:r>
            <w:proofErr w:type="gramStart"/>
            <w:r>
              <w:rPr>
                <w:rFonts w:ascii="Google Sans" w:eastAsia="Google Sans" w:hAnsi="Google Sans" w:cs="Google Sans"/>
                <w:color w:val="1F1F1F"/>
              </w:rPr>
              <w:t>2026 ;</w:t>
            </w:r>
            <w:proofErr w:type="gram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jusqu'à</w:t>
            </w:r>
            <w:proofErr w:type="spellEnd"/>
            <w:r>
              <w:rPr>
                <w:rFonts w:ascii="Google Sans" w:eastAsia="Google Sans" w:hAnsi="Google Sans" w:cs="Google Sans"/>
                <w:color w:val="1F1F1F"/>
              </w:rPr>
              <w:t xml:space="preserve"> 18 </w:t>
            </w:r>
            <w:proofErr w:type="spellStart"/>
            <w:r>
              <w:rPr>
                <w:rFonts w:ascii="Google Sans" w:eastAsia="Google Sans" w:hAnsi="Google Sans" w:cs="Google Sans"/>
                <w:color w:val="1F1F1F"/>
              </w:rPr>
              <w:t>mois</w:t>
            </w:r>
            <w:proofErr w:type="spellEnd"/>
          </w:p>
        </w:tc>
      </w:tr>
      <w:tr w:rsidR="00E25B9F" w14:paraId="35BC66F6"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3CFB238"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proofErr w:type="gramStart"/>
            <w:r w:rsidRPr="0020222E">
              <w:rPr>
                <w:rFonts w:ascii="Google Sans" w:eastAsia="Google Sans" w:hAnsi="Google Sans" w:cs="Google Sans"/>
                <w:color w:val="1F1F1F"/>
                <w:lang w:val="fr-FR"/>
              </w:rPr>
              <w:t>E-mail</w:t>
            </w:r>
            <w:proofErr w:type="gramEnd"/>
            <w:r w:rsidRPr="0020222E">
              <w:rPr>
                <w:rFonts w:ascii="Google Sans" w:eastAsia="Google Sans" w:hAnsi="Google Sans" w:cs="Google Sans"/>
                <w:color w:val="1F1F1F"/>
                <w:lang w:val="fr-FR"/>
              </w:rPr>
              <w:t xml:space="preserve"> de correspondance officielle :</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1F4C1D2"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alignacf@actionagainsthunger.org</w:t>
            </w:r>
          </w:p>
        </w:tc>
      </w:tr>
      <w:tr w:rsidR="00E25B9F" w14:paraId="56620924"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C6C4C2"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Date limite pour la soumission des questions de clarification :</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F7714B4"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7–8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14:paraId="25D3E1A2"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A059C6C"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lastRenderedPageBreak/>
              <w:t>Réponses aux questions de clarification :</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44E95C2"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10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rsidRPr="0020222E" w14:paraId="00B11FF9"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C83D97F"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Nom du bailleur de fonds :</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93BA83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Mécanisme de Financement Mondial (GFF) et l'Alliance de la Société Civile et de l'Innovation Sociale (CIVIC)</w:t>
            </w:r>
          </w:p>
        </w:tc>
      </w:tr>
      <w:tr w:rsidR="00E25B9F" w:rsidRPr="0020222E" w14:paraId="41740080" w14:textId="77777777">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6244CC7"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gramStart"/>
            <w:r>
              <w:rPr>
                <w:rFonts w:ascii="Google Sans" w:eastAsia="Google Sans" w:hAnsi="Google Sans" w:cs="Google Sans"/>
                <w:color w:val="1F1F1F"/>
              </w:rPr>
              <w:t>Langue :</w:t>
            </w:r>
            <w:proofErr w:type="gramEnd"/>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9A24669"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Les candidats peuvent soumettre leurs candidatures en anglais ou en français.</w:t>
            </w:r>
          </w:p>
        </w:tc>
      </w:tr>
    </w:tbl>
    <w:p w14:paraId="1A44024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 xml:space="preserve">Veuillez noter que le consortium ALIGN se réserve le droit de modifier ce calendrier, si nécessaire. Toutes les parties seront informées simultanément de toute modification par </w:t>
      </w:r>
      <w:proofErr w:type="gramStart"/>
      <w:r w:rsidRPr="0020222E">
        <w:rPr>
          <w:rFonts w:ascii="Google Sans" w:eastAsia="Google Sans" w:hAnsi="Google Sans" w:cs="Google Sans"/>
          <w:color w:val="1F1F1F"/>
          <w:lang w:val="fr-FR"/>
        </w:rPr>
        <w:t>e-mail</w:t>
      </w:r>
      <w:proofErr w:type="gramEnd"/>
      <w:r w:rsidRPr="0020222E">
        <w:rPr>
          <w:rFonts w:ascii="Google Sans" w:eastAsia="Google Sans" w:hAnsi="Google Sans" w:cs="Google Sans"/>
          <w:color w:val="1F1F1F"/>
          <w:lang w:val="fr-FR"/>
        </w:rPr>
        <w:t>.</w:t>
      </w:r>
    </w:p>
    <w:p w14:paraId="3E17EDC1" w14:textId="77777777" w:rsidR="00E25B9F" w:rsidRDefault="003D6A3A">
      <w:pPr>
        <w:pBdr>
          <w:top w:val="nil"/>
          <w:left w:val="nil"/>
          <w:bottom w:val="nil"/>
          <w:right w:val="nil"/>
          <w:between w:val="nil"/>
        </w:pBdr>
        <w:spacing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Liste</w:t>
      </w:r>
      <w:proofErr w:type="spellEnd"/>
      <w:r>
        <w:rPr>
          <w:rFonts w:ascii="Google Sans" w:eastAsia="Google Sans" w:hAnsi="Google Sans" w:cs="Google Sans"/>
          <w:b/>
          <w:bCs/>
          <w:color w:val="1F1F1F"/>
        </w:rPr>
        <w:t xml:space="preserve"> des </w:t>
      </w:r>
      <w:proofErr w:type="spellStart"/>
      <w:r>
        <w:rPr>
          <w:rFonts w:ascii="Google Sans" w:eastAsia="Google Sans" w:hAnsi="Google Sans" w:cs="Google Sans"/>
          <w:b/>
          <w:bCs/>
          <w:color w:val="1F1F1F"/>
        </w:rPr>
        <w:t>Abréviations</w:t>
      </w:r>
      <w:proofErr w:type="spellEnd"/>
    </w:p>
    <w:p w14:paraId="3708D30A" w14:textId="77777777" w:rsidR="00E25B9F" w:rsidRDefault="003D6A3A">
      <w:pPr>
        <w:numPr>
          <w:ilvl w:val="0"/>
          <w:numId w:val="1"/>
        </w:numPr>
        <w:pBdr>
          <w:top w:val="nil"/>
          <w:left w:val="nil"/>
          <w:bottom w:val="nil"/>
          <w:right w:val="nil"/>
          <w:between w:val="nil"/>
        </w:pBdr>
        <w:spacing w:line="275" w:lineRule="auto"/>
      </w:pPr>
      <w:proofErr w:type="gramStart"/>
      <w:r>
        <w:rPr>
          <w:rFonts w:ascii="Google Sans" w:eastAsia="Google Sans" w:hAnsi="Google Sans" w:cs="Google Sans"/>
          <w:b/>
          <w:bCs/>
          <w:color w:val="1F1F1F"/>
        </w:rPr>
        <w:t>ACF :</w:t>
      </w:r>
      <w:proofErr w:type="gramEnd"/>
      <w:r>
        <w:rPr>
          <w:rFonts w:ascii="Google Sans" w:eastAsia="Google Sans" w:hAnsi="Google Sans" w:cs="Google Sans"/>
          <w:color w:val="1F1F1F"/>
        </w:rPr>
        <w:t xml:space="preserve"> Action Contre la Faim</w:t>
      </w:r>
    </w:p>
    <w:p w14:paraId="6894FCE0" w14:textId="77777777" w:rsidR="00E25B9F" w:rsidRPr="0020222E" w:rsidRDefault="003D6A3A">
      <w:pPr>
        <w:numPr>
          <w:ilvl w:val="0"/>
          <w:numId w:val="1"/>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ALIGN :</w:t>
      </w:r>
      <w:r w:rsidRPr="0020222E">
        <w:rPr>
          <w:rFonts w:ascii="Google Sans" w:eastAsia="Google Sans" w:hAnsi="Google Sans" w:cs="Google Sans"/>
          <w:color w:val="1F1F1F"/>
          <w:lang w:val="fr-FR"/>
        </w:rPr>
        <w:t xml:space="preserve"> Faire progresser les innovations locales pour la santé et la nutrition des adolescents à travers la gouvernance et les réseaux (Advancing Local Innovations for Adolescent Health &amp; Nutrition through Governance and Networks)</w:t>
      </w:r>
    </w:p>
    <w:p w14:paraId="36B5F9D6" w14:textId="77777777" w:rsidR="00E25B9F" w:rsidRDefault="003D6A3A">
      <w:pPr>
        <w:numPr>
          <w:ilvl w:val="0"/>
          <w:numId w:val="1"/>
        </w:numPr>
        <w:pBdr>
          <w:top w:val="nil"/>
          <w:left w:val="nil"/>
          <w:bottom w:val="nil"/>
          <w:right w:val="nil"/>
          <w:between w:val="nil"/>
        </w:pBdr>
        <w:spacing w:line="275" w:lineRule="auto"/>
      </w:pPr>
      <w:proofErr w:type="gramStart"/>
      <w:r>
        <w:rPr>
          <w:rFonts w:ascii="Google Sans" w:eastAsia="Google Sans" w:hAnsi="Google Sans" w:cs="Google Sans"/>
          <w:b/>
          <w:bCs/>
          <w:color w:val="1F1F1F"/>
        </w:rPr>
        <w:t>CFP :</w:t>
      </w:r>
      <w:proofErr w:type="gramEnd"/>
      <w:r>
        <w:rPr>
          <w:rFonts w:ascii="Google Sans" w:eastAsia="Google Sans" w:hAnsi="Google Sans" w:cs="Google Sans"/>
          <w:color w:val="1F1F1F"/>
        </w:rPr>
        <w:t xml:space="preserve"> Appel à propositions</w:t>
      </w:r>
    </w:p>
    <w:p w14:paraId="7E3E661F" w14:textId="77777777" w:rsidR="00E25B9F" w:rsidRPr="0020222E" w:rsidRDefault="003D6A3A">
      <w:pPr>
        <w:numPr>
          <w:ilvl w:val="0"/>
          <w:numId w:val="1"/>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CIVIC :</w:t>
      </w:r>
      <w:r w:rsidRPr="0020222E">
        <w:rPr>
          <w:rFonts w:ascii="Google Sans" w:eastAsia="Google Sans" w:hAnsi="Google Sans" w:cs="Google Sans"/>
          <w:color w:val="1F1F1F"/>
          <w:lang w:val="fr-FR"/>
        </w:rPr>
        <w:t xml:space="preserve"> Alliance de la Société Civile et de l'Innovation Sociale</w:t>
      </w:r>
    </w:p>
    <w:p w14:paraId="3AE0BC3B" w14:textId="77777777" w:rsidR="00E25B9F" w:rsidRPr="0020222E" w:rsidRDefault="003D6A3A">
      <w:pPr>
        <w:numPr>
          <w:ilvl w:val="0"/>
          <w:numId w:val="1"/>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CSO (OSC) :</w:t>
      </w:r>
      <w:r w:rsidRPr="0020222E">
        <w:rPr>
          <w:rFonts w:ascii="Google Sans" w:eastAsia="Google Sans" w:hAnsi="Google Sans" w:cs="Google Sans"/>
          <w:color w:val="1F1F1F"/>
          <w:lang w:val="fr-FR"/>
        </w:rPr>
        <w:t xml:space="preserve"> Organisation de la Société Civile</w:t>
      </w:r>
    </w:p>
    <w:p w14:paraId="5AA1FEC5" w14:textId="77777777" w:rsidR="00E25B9F" w:rsidRPr="0020222E" w:rsidRDefault="003D6A3A">
      <w:pPr>
        <w:numPr>
          <w:ilvl w:val="0"/>
          <w:numId w:val="1"/>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ENN :</w:t>
      </w:r>
      <w:r w:rsidRPr="0020222E">
        <w:rPr>
          <w:rFonts w:ascii="Google Sans" w:eastAsia="Google Sans" w:hAnsi="Google Sans" w:cs="Google Sans"/>
          <w:color w:val="1F1F1F"/>
          <w:lang w:val="fr-FR"/>
        </w:rPr>
        <w:t xml:space="preserve"> Réseau de Nutrition d'Urgence (Emergency Nutrition Network)</w:t>
      </w:r>
    </w:p>
    <w:p w14:paraId="13B7B585" w14:textId="77777777" w:rsidR="00E25B9F" w:rsidRDefault="003D6A3A">
      <w:pPr>
        <w:numPr>
          <w:ilvl w:val="0"/>
          <w:numId w:val="1"/>
        </w:numPr>
        <w:pBdr>
          <w:top w:val="nil"/>
          <w:left w:val="nil"/>
          <w:bottom w:val="nil"/>
          <w:right w:val="nil"/>
          <w:between w:val="nil"/>
        </w:pBdr>
        <w:spacing w:line="275" w:lineRule="auto"/>
      </w:pPr>
      <w:r>
        <w:rPr>
          <w:rFonts w:ascii="Google Sans" w:eastAsia="Google Sans" w:hAnsi="Google Sans" w:cs="Google Sans"/>
          <w:b/>
          <w:bCs/>
          <w:color w:val="1F1F1F"/>
        </w:rPr>
        <w:t>EOI (AMI</w:t>
      </w:r>
      <w:proofErr w:type="gramStart"/>
      <w:r>
        <w:rPr>
          <w:rFonts w:ascii="Google Sans" w:eastAsia="Google Sans" w:hAnsi="Google Sans" w:cs="Google Sans"/>
          <w:b/>
          <w:bCs/>
          <w:color w:val="1F1F1F"/>
        </w:rPr>
        <w:t>) :</w:t>
      </w:r>
      <w:proofErr w:type="gramEnd"/>
      <w:r>
        <w:rPr>
          <w:rFonts w:ascii="Google Sans" w:eastAsia="Google Sans" w:hAnsi="Google Sans" w:cs="Google Sans"/>
          <w:color w:val="1F1F1F"/>
        </w:rPr>
        <w:t xml:space="preserve"> Manifestation </w:t>
      </w:r>
      <w:proofErr w:type="spellStart"/>
      <w:r>
        <w:rPr>
          <w:rFonts w:ascii="Google Sans" w:eastAsia="Google Sans" w:hAnsi="Google Sans" w:cs="Google Sans"/>
          <w:color w:val="1F1F1F"/>
        </w:rPr>
        <w:t>d'Intérêt</w:t>
      </w:r>
      <w:proofErr w:type="spellEnd"/>
    </w:p>
    <w:p w14:paraId="09BB5CA7" w14:textId="77777777" w:rsidR="00E25B9F" w:rsidRDefault="003D6A3A">
      <w:pPr>
        <w:numPr>
          <w:ilvl w:val="0"/>
          <w:numId w:val="1"/>
        </w:numPr>
        <w:pBdr>
          <w:top w:val="nil"/>
          <w:left w:val="nil"/>
          <w:bottom w:val="nil"/>
          <w:right w:val="nil"/>
          <w:between w:val="nil"/>
        </w:pBdr>
        <w:spacing w:line="275" w:lineRule="auto"/>
      </w:pPr>
      <w:proofErr w:type="gramStart"/>
      <w:r>
        <w:rPr>
          <w:rFonts w:ascii="Google Sans" w:eastAsia="Google Sans" w:hAnsi="Google Sans" w:cs="Google Sans"/>
          <w:b/>
          <w:bCs/>
          <w:color w:val="1F1F1F"/>
        </w:rPr>
        <w:t>GFF :</w:t>
      </w:r>
      <w:proofErr w:type="gram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Mécanisme</w:t>
      </w:r>
      <w:proofErr w:type="spellEnd"/>
      <w:r>
        <w:rPr>
          <w:rFonts w:ascii="Google Sans" w:eastAsia="Google Sans" w:hAnsi="Google Sans" w:cs="Google Sans"/>
          <w:color w:val="1F1F1F"/>
        </w:rPr>
        <w:t xml:space="preserve"> de </w:t>
      </w:r>
      <w:proofErr w:type="spellStart"/>
      <w:r>
        <w:rPr>
          <w:rFonts w:ascii="Google Sans" w:eastAsia="Google Sans" w:hAnsi="Google Sans" w:cs="Google Sans"/>
          <w:color w:val="1F1F1F"/>
        </w:rPr>
        <w:t>Financement</w:t>
      </w:r>
      <w:proofErr w:type="spellEnd"/>
      <w:r>
        <w:rPr>
          <w:rFonts w:ascii="Google Sans" w:eastAsia="Google Sans" w:hAnsi="Google Sans" w:cs="Google Sans"/>
          <w:color w:val="1F1F1F"/>
        </w:rPr>
        <w:t xml:space="preserve"> Mondial</w:t>
      </w:r>
    </w:p>
    <w:p w14:paraId="73DE2205" w14:textId="77777777" w:rsidR="00E25B9F" w:rsidRPr="0020222E" w:rsidRDefault="003D6A3A">
      <w:pPr>
        <w:numPr>
          <w:ilvl w:val="0"/>
          <w:numId w:val="1"/>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GRM :</w:t>
      </w:r>
      <w:r w:rsidRPr="0020222E">
        <w:rPr>
          <w:rFonts w:ascii="Google Sans" w:eastAsia="Google Sans" w:hAnsi="Google Sans" w:cs="Google Sans"/>
          <w:color w:val="1F1F1F"/>
          <w:lang w:val="fr-FR"/>
        </w:rPr>
        <w:t xml:space="preserve"> Mécanisme de gestion des plaintes</w:t>
      </w:r>
    </w:p>
    <w:p w14:paraId="2BCC123A" w14:textId="77777777" w:rsidR="00E25B9F" w:rsidRPr="0020222E" w:rsidRDefault="003D6A3A">
      <w:pPr>
        <w:numPr>
          <w:ilvl w:val="0"/>
          <w:numId w:val="1"/>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PSEA :</w:t>
      </w:r>
      <w:r w:rsidRPr="0020222E">
        <w:rPr>
          <w:rFonts w:ascii="Google Sans" w:eastAsia="Google Sans" w:hAnsi="Google Sans" w:cs="Google Sans"/>
          <w:color w:val="1F1F1F"/>
          <w:lang w:val="fr-FR"/>
        </w:rPr>
        <w:t xml:space="preserve"> Protection contre l'exploitation et les abus sexuels</w:t>
      </w:r>
    </w:p>
    <w:p w14:paraId="4EE41103" w14:textId="77777777" w:rsidR="00E25B9F" w:rsidRDefault="003D6A3A">
      <w:pPr>
        <w:numPr>
          <w:ilvl w:val="0"/>
          <w:numId w:val="1"/>
        </w:numPr>
        <w:pBdr>
          <w:top w:val="nil"/>
          <w:left w:val="nil"/>
          <w:bottom w:val="nil"/>
          <w:right w:val="nil"/>
          <w:between w:val="nil"/>
        </w:pBdr>
        <w:spacing w:line="275" w:lineRule="auto"/>
      </w:pPr>
      <w:proofErr w:type="gramStart"/>
      <w:r>
        <w:rPr>
          <w:rFonts w:ascii="Google Sans" w:eastAsia="Google Sans" w:hAnsi="Google Sans" w:cs="Google Sans"/>
          <w:b/>
          <w:bCs/>
          <w:color w:val="1F1F1F"/>
        </w:rPr>
        <w:t>TYC :</w:t>
      </w:r>
      <w:proofErr w:type="gramEnd"/>
      <w:r>
        <w:rPr>
          <w:rFonts w:ascii="Google Sans" w:eastAsia="Google Sans" w:hAnsi="Google Sans" w:cs="Google Sans"/>
          <w:color w:val="1F1F1F"/>
        </w:rPr>
        <w:t xml:space="preserve"> The Youth Café</w:t>
      </w:r>
    </w:p>
    <w:p w14:paraId="1E6D870B" w14:textId="77777777" w:rsidR="00E25B9F" w:rsidRPr="0020222E" w:rsidRDefault="003D6A3A">
      <w:pPr>
        <w:numPr>
          <w:ilvl w:val="0"/>
          <w:numId w:val="1"/>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YLO (ODJ) :</w:t>
      </w:r>
      <w:r w:rsidRPr="0020222E">
        <w:rPr>
          <w:rFonts w:ascii="Google Sans" w:eastAsia="Google Sans" w:hAnsi="Google Sans" w:cs="Google Sans"/>
          <w:color w:val="1F1F1F"/>
          <w:lang w:val="fr-FR"/>
        </w:rPr>
        <w:t xml:space="preserve"> Organisation dirigée par des jeunes</w:t>
      </w:r>
    </w:p>
    <w:p w14:paraId="6AE27A80" w14:textId="77777777" w:rsidR="00E25B9F" w:rsidRDefault="003D6A3A">
      <w:pPr>
        <w:pBdr>
          <w:top w:val="nil"/>
          <w:left w:val="nil"/>
          <w:bottom w:val="nil"/>
          <w:right w:val="nil"/>
          <w:between w:val="nil"/>
        </w:pBdr>
        <w:spacing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Glossaire</w:t>
      </w:r>
      <w:proofErr w:type="spellEnd"/>
      <w:r>
        <w:rPr>
          <w:rFonts w:ascii="Google Sans" w:eastAsia="Google Sans" w:hAnsi="Google Sans" w:cs="Google Sans"/>
          <w:b/>
          <w:bCs/>
          <w:color w:val="1F1F1F"/>
        </w:rPr>
        <w:t xml:space="preserve"> des Termes</w:t>
      </w:r>
    </w:p>
    <w:p w14:paraId="0D82619C" w14:textId="77777777" w:rsidR="00E25B9F" w:rsidRDefault="00E25B9F">
      <w:pPr>
        <w:pBdr>
          <w:top w:val="nil"/>
          <w:left w:val="nil"/>
          <w:bottom w:val="nil"/>
          <w:right w:val="nil"/>
          <w:between w:val="nil"/>
        </w:pBdr>
        <w:spacing w:line="275" w:lineRule="auto"/>
        <w:rPr>
          <w:rFonts w:ascii="Google Sans" w:eastAsia="Google Sans" w:hAnsi="Google Sans" w:cs="Google Sans"/>
          <w:b/>
          <w:bCs/>
          <w:color w:val="1F1F1F"/>
        </w:rPr>
      </w:pPr>
    </w:p>
    <w:tbl>
      <w:tblPr>
        <w:tblStyle w:val="a0"/>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580"/>
        <w:gridCol w:w="6780"/>
      </w:tblGrid>
      <w:tr w:rsidR="00E25B9F" w14:paraId="39EC5AF8" w14:textId="77777777">
        <w:tc>
          <w:tcPr>
            <w:tcW w:w="258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5DE760BB"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r>
              <w:rPr>
                <w:rFonts w:ascii="Google Sans" w:eastAsia="Google Sans" w:hAnsi="Google Sans" w:cs="Google Sans"/>
                <w:b/>
                <w:bCs/>
                <w:color w:val="1F1F1F"/>
              </w:rPr>
              <w:t>Terme</w:t>
            </w:r>
          </w:p>
        </w:tc>
        <w:tc>
          <w:tcPr>
            <w:tcW w:w="678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1076D594"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Définition</w:t>
            </w:r>
            <w:proofErr w:type="spellEnd"/>
          </w:p>
        </w:tc>
      </w:tr>
      <w:tr w:rsidR="00E25B9F" w:rsidRPr="0020222E" w14:paraId="4D0459B9"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B6AAB85"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Approche centrée sur les adolescents</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42D57A"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Une approche qui place les besoins, les perspectives, la participation, la sécurité et les droits des adolescents au centre de la conception, de la mise en œuvre, du suivi et de la prise de décision des programmes.</w:t>
            </w:r>
          </w:p>
        </w:tc>
      </w:tr>
      <w:tr w:rsidR="00E25B9F" w:rsidRPr="0020222E" w14:paraId="44AD9345"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AF2F516"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Innovation menée par la communauté</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5B10F88"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Une solution conçue ou adaptée localement, dirigée par des acteurs communautaires pour répondre à un défi reconnu en matière de santé ou de nutrition des adolescents.</w:t>
            </w:r>
          </w:p>
        </w:tc>
      </w:tr>
      <w:tr w:rsidR="00E25B9F" w:rsidRPr="0020222E" w14:paraId="4C4F11D6"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1F7A71D"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lastRenderedPageBreak/>
              <w:t xml:space="preserve">Manifestation </w:t>
            </w:r>
            <w:proofErr w:type="spellStart"/>
            <w:r>
              <w:rPr>
                <w:rFonts w:ascii="Google Sans" w:eastAsia="Google Sans" w:hAnsi="Google Sans" w:cs="Google Sans"/>
                <w:color w:val="1F1F1F"/>
              </w:rPr>
              <w:t>d'Intérêt</w:t>
            </w:r>
            <w:proofErr w:type="spellEnd"/>
            <w:r>
              <w:rPr>
                <w:rFonts w:ascii="Google Sans" w:eastAsia="Google Sans" w:hAnsi="Google Sans" w:cs="Google Sans"/>
                <w:color w:val="1F1F1F"/>
              </w:rPr>
              <w:t xml:space="preserve"> (AMI)</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4D2F6B4"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Une candidature concise de première étape utilisée pour démontrer l'éligibilité organisationnelle, l'expérience pertinente, les preuves de résultats, l'ancrage communautaire et le potentiel de mise à l'échelle d'une intervention proposée.</w:t>
            </w:r>
          </w:p>
        </w:tc>
      </w:tr>
      <w:tr w:rsidR="00E25B9F" w:rsidRPr="0020222E" w14:paraId="23E904CC"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06C0C4C"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Proposition </w:t>
            </w:r>
            <w:proofErr w:type="spellStart"/>
            <w:r>
              <w:rPr>
                <w:rFonts w:ascii="Google Sans" w:eastAsia="Google Sans" w:hAnsi="Google Sans" w:cs="Google Sans"/>
                <w:color w:val="1F1F1F"/>
              </w:rPr>
              <w:t>complète</w:t>
            </w:r>
            <w:proofErr w:type="spellEnd"/>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C207303"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Une candidature détaillée de deuxième étape soumise par les candidats présélectionnés, comprenant la conception technique, le plan de travail, le cadre de résultats, le budget, la gestion des risques, les mesures de sauvegarde et les annexes justificatives.</w:t>
            </w:r>
          </w:p>
        </w:tc>
      </w:tr>
      <w:tr w:rsidR="00E25B9F" w:rsidRPr="0020222E" w14:paraId="1C3F464B"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D69BD42"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Sous-subvention</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C8E5AD4"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Financement accordé par Action Contre la Faim dans le cadre du projet ALIGN à une organisation ou un consortium éligible sélectionné pour mettre en œuvre une intervention approuvée.</w:t>
            </w:r>
          </w:p>
        </w:tc>
      </w:tr>
      <w:tr w:rsidR="00E25B9F" w:rsidRPr="0020222E" w14:paraId="720DBB49"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2786577"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Sous-</w:t>
            </w:r>
            <w:proofErr w:type="spellStart"/>
            <w:r>
              <w:rPr>
                <w:rFonts w:ascii="Google Sans" w:eastAsia="Google Sans" w:hAnsi="Google Sans" w:cs="Google Sans"/>
                <w:color w:val="1F1F1F"/>
              </w:rPr>
              <w:t>bénéficiaire</w:t>
            </w:r>
            <w:proofErr w:type="spellEnd"/>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D9653E"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Une organisation ou un consortium sélectionné pour recevoir et gérer une sous-subvention conformément à l'accord d'attribution et aux exigences programmatiques, financières, de sauvegarde et de reporting applicables.</w:t>
            </w:r>
          </w:p>
        </w:tc>
      </w:tr>
      <w:tr w:rsidR="00E25B9F" w:rsidRPr="0020222E" w14:paraId="1B12C799"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3D6CF77"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Consortium </w:t>
            </w:r>
            <w:proofErr w:type="spellStart"/>
            <w:r>
              <w:rPr>
                <w:rFonts w:ascii="Google Sans" w:eastAsia="Google Sans" w:hAnsi="Google Sans" w:cs="Google Sans"/>
                <w:color w:val="1F1F1F"/>
              </w:rPr>
              <w:t>stratégique</w:t>
            </w:r>
            <w:proofErr w:type="spellEnd"/>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2E1CA18"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 xml:space="preserve">Un partenariat formel entre deux ou plusieurs organisations qui combine des capacités techniques, communautaires, opérationnelles ou de </w:t>
            </w:r>
            <w:proofErr w:type="gramStart"/>
            <w:r w:rsidRPr="0020222E">
              <w:rPr>
                <w:rFonts w:ascii="Google Sans" w:eastAsia="Google Sans" w:hAnsi="Google Sans" w:cs="Google Sans"/>
                <w:color w:val="1F1F1F"/>
                <w:lang w:val="fr-FR"/>
              </w:rPr>
              <w:t>plaidoyer complémentaires</w:t>
            </w:r>
            <w:proofErr w:type="gramEnd"/>
            <w:r w:rsidRPr="0020222E">
              <w:rPr>
                <w:rFonts w:ascii="Google Sans" w:eastAsia="Google Sans" w:hAnsi="Google Sans" w:cs="Google Sans"/>
                <w:color w:val="1F1F1F"/>
                <w:lang w:val="fr-FR"/>
              </w:rPr>
              <w:t xml:space="preserve"> pour réaliser le projet proposé.</w:t>
            </w:r>
          </w:p>
        </w:tc>
      </w:tr>
      <w:tr w:rsidR="00E25B9F" w:rsidRPr="0020222E" w14:paraId="3EE5E751"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A7FF9FF"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Organisation dirigée par des jeunes</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AA67511"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Une organisation dans laquelle les jeunes (généralement âgés de 15 à 35 ans) occupent des rôles de leadership et de prise de décision significatifs et façonnent substantiellement les priorités, la gouvernance et les activités de l'organisation.</w:t>
            </w:r>
          </w:p>
        </w:tc>
      </w:tr>
      <w:tr w:rsidR="00E25B9F" w:rsidRPr="0020222E" w14:paraId="52A31F7D"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4E7D59C"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Mise à </w:t>
            </w:r>
            <w:proofErr w:type="spellStart"/>
            <w:r>
              <w:rPr>
                <w:rFonts w:ascii="Google Sans" w:eastAsia="Google Sans" w:hAnsi="Google Sans" w:cs="Google Sans"/>
                <w:color w:val="1F1F1F"/>
              </w:rPr>
              <w:t>l'échelle</w:t>
            </w:r>
            <w:proofErr w:type="spellEnd"/>
            <w:r>
              <w:rPr>
                <w:rFonts w:ascii="Google Sans" w:eastAsia="Google Sans" w:hAnsi="Google Sans" w:cs="Google Sans"/>
                <w:color w:val="1F1F1F"/>
              </w:rPr>
              <w:t xml:space="preserve"> (Scaling)</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CFA8A94"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L'expansion, la réplication, l'adaptation ou l'institutionnalisation planifiée d'une intervention éprouvée afin qu'elle atteigne plus d'adolescents ou influence des systèmes, politiques ou financements plus vastes.</w:t>
            </w:r>
          </w:p>
        </w:tc>
      </w:tr>
      <w:tr w:rsidR="00E25B9F" w:rsidRPr="0020222E" w14:paraId="3D60D841"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6FBE270"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Institutionnalisation</w:t>
            </w:r>
            <w:proofErr w:type="spellEnd"/>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2ACF5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L'intégration d'une intervention, d'une pratique ou d'un mécanisme efficace dans les structures de routine du gouvernement, du système de santé, de l'organisation, des politiques, de la planification ou du financement.</w:t>
            </w:r>
          </w:p>
        </w:tc>
      </w:tr>
      <w:tr w:rsidR="00E25B9F" w:rsidRPr="0020222E" w14:paraId="0925B389"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755106D"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 xml:space="preserve">Intervention basée sur </w:t>
            </w:r>
            <w:r w:rsidRPr="0020222E">
              <w:rPr>
                <w:rFonts w:ascii="Google Sans" w:eastAsia="Google Sans" w:hAnsi="Google Sans" w:cs="Google Sans"/>
                <w:color w:val="1F1F1F"/>
                <w:lang w:val="fr-FR"/>
              </w:rPr>
              <w:lastRenderedPageBreak/>
              <w:t>des preuves</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5640522"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lastRenderedPageBreak/>
              <w:t xml:space="preserve">Une intervention soutenue par des données crédibles, des résultats documentés, des recherches, des conclusions de suivi </w:t>
            </w:r>
            <w:r w:rsidRPr="0020222E">
              <w:rPr>
                <w:rFonts w:ascii="Google Sans" w:eastAsia="Google Sans" w:hAnsi="Google Sans" w:cs="Google Sans"/>
                <w:color w:val="1F1F1F"/>
                <w:lang w:val="fr-FR"/>
              </w:rPr>
              <w:lastRenderedPageBreak/>
              <w:t>ou une expérience de mise en œuvre montrant qu'elle peut résoudre le problème identifié.</w:t>
            </w:r>
          </w:p>
        </w:tc>
      </w:tr>
      <w:tr w:rsidR="00E25B9F" w:rsidRPr="0020222E" w14:paraId="007DD92F"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653B81"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lastRenderedPageBreak/>
              <w:t>Preuves</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exploitables</w:t>
            </w:r>
            <w:proofErr w:type="spellEnd"/>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4A88832"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Découvertes présentées sous une forme opportune et pratique que les décideurs peuvent utiliser pour améliorer les programmes, les politiques, les budgets, le financement ou la prestation de services.</w:t>
            </w:r>
          </w:p>
        </w:tc>
      </w:tr>
      <w:tr w:rsidR="00E25B9F" w:rsidRPr="0020222E" w14:paraId="25E57D2E"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7018CA7"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Outil</w:t>
            </w:r>
            <w:proofErr w:type="spellEnd"/>
            <w:r>
              <w:rPr>
                <w:rFonts w:ascii="Google Sans" w:eastAsia="Google Sans" w:hAnsi="Google Sans" w:cs="Google Sans"/>
                <w:color w:val="1F1F1F"/>
              </w:rPr>
              <w:t xml:space="preserve"> de </w:t>
            </w:r>
            <w:proofErr w:type="spellStart"/>
            <w:r>
              <w:rPr>
                <w:rFonts w:ascii="Google Sans" w:eastAsia="Google Sans" w:hAnsi="Google Sans" w:cs="Google Sans"/>
                <w:color w:val="1F1F1F"/>
              </w:rPr>
              <w:t>redevabilité</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communautaire</w:t>
            </w:r>
            <w:proofErr w:type="spellEnd"/>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17DE5CC"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 mécanisme participatif—tel qu'un bulletin d'évaluation communautaire, un audit social ou un dialogue public—qui permet aux communautés et aux adolescents d'évaluer les services, de soulever des préoccupations et de demander des mesures correctives aux institutions responsables.</w:t>
            </w:r>
          </w:p>
        </w:tc>
      </w:tr>
      <w:tr w:rsidR="00E25B9F" w:rsidRPr="0020222E" w14:paraId="402B4E73"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0001EC8"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Plateforme</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d'engagement</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civique</w:t>
            </w:r>
            <w:proofErr w:type="spellEnd"/>
            <w:r>
              <w:rPr>
                <w:rFonts w:ascii="Google Sans" w:eastAsia="Google Sans" w:hAnsi="Google Sans" w:cs="Google Sans"/>
                <w:color w:val="1F1F1F"/>
              </w:rPr>
              <w:t xml:space="preserve"> numérique</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FA9CD0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 canal numérique, tel que les SMS, les réseaux sociaux ou un mécanisme de retour d'information en ligne, utilisé pour informer, consulter, mobiliser ou recueillir les avis des adolescents et des communautés.</w:t>
            </w:r>
          </w:p>
        </w:tc>
      </w:tr>
      <w:tr w:rsidR="00E25B9F" w:rsidRPr="0020222E" w14:paraId="45F1DAB0"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86D6180"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Sauvegarde</w:t>
            </w:r>
            <w:proofErr w:type="spellEnd"/>
            <w:r>
              <w:rPr>
                <w:rFonts w:ascii="Google Sans" w:eastAsia="Google Sans" w:hAnsi="Google Sans" w:cs="Google Sans"/>
                <w:color w:val="1F1F1F"/>
              </w:rPr>
              <w:t xml:space="preserve"> (Safeguarding)</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7424F87"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Politiques, procédures et pratiques destinées à prévenir et à répondre aux abus, à l'exploitation, au harcèlement, à la violence et à d'autres préjudices survenant par le biais du personnel, des partenaires ou des activités d'une organisation.</w:t>
            </w:r>
          </w:p>
        </w:tc>
      </w:tr>
      <w:tr w:rsidR="00E25B9F" w:rsidRPr="0020222E" w14:paraId="07B429B2"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A5F7A76"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Mécanisme de gestion des plaintes</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BE9E99D"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Un processus sûr, accessible, confidentiel et transparent par lequel les individus ou les communautés peuvent soumettre des préoccupations ou des plaintes et recevoir un examen, une réponse et une résolution en temps opportun.</w:t>
            </w:r>
          </w:p>
        </w:tc>
      </w:tr>
      <w:tr w:rsidR="00E25B9F" w:rsidRPr="0020222E" w14:paraId="0FAC83CB"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5B0364E"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Engagement </w:t>
            </w:r>
            <w:proofErr w:type="spellStart"/>
            <w:r>
              <w:rPr>
                <w:rFonts w:ascii="Google Sans" w:eastAsia="Google Sans" w:hAnsi="Google Sans" w:cs="Google Sans"/>
                <w:color w:val="1F1F1F"/>
              </w:rPr>
              <w:t>significatif</w:t>
            </w:r>
            <w:proofErr w:type="spellEnd"/>
            <w:r>
              <w:rPr>
                <w:rFonts w:ascii="Google Sans" w:eastAsia="Google Sans" w:hAnsi="Google Sans" w:cs="Google Sans"/>
                <w:color w:val="1F1F1F"/>
              </w:rPr>
              <w:t xml:space="preserve"> des adolescents</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420215B"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La participation sûre, inclusive et soutenue des adolescents aux décisions qui les concernent, avec des informations, une influence, un soutien et des retours appropriés sur la façon dont leurs contributions ont été utilisées.</w:t>
            </w:r>
          </w:p>
        </w:tc>
      </w:tr>
      <w:tr w:rsidR="00E25B9F" w:rsidRPr="0020222E" w14:paraId="45F911C0"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848AD3A"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Populations </w:t>
            </w:r>
            <w:proofErr w:type="spellStart"/>
            <w:r>
              <w:rPr>
                <w:rFonts w:ascii="Google Sans" w:eastAsia="Google Sans" w:hAnsi="Google Sans" w:cs="Google Sans"/>
                <w:color w:val="1F1F1F"/>
              </w:rPr>
              <w:t>marginalisées</w:t>
            </w:r>
            <w:proofErr w:type="spellEnd"/>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72A89E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Adolescents ou groupes confrontés à des obstacles à la participation, aux services, aux ressources ou à la prise de décision en raison de l'exclusion sociale, économique, géographique, institutionnelle ou d'autres formes d'exclusion.</w:t>
            </w:r>
          </w:p>
        </w:tc>
      </w:tr>
      <w:tr w:rsidR="00E25B9F" w:rsidRPr="0020222E" w14:paraId="324D2714"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F2ABA61"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Rapport </w:t>
            </w:r>
            <w:proofErr w:type="spellStart"/>
            <w:r>
              <w:rPr>
                <w:rFonts w:ascii="Google Sans" w:eastAsia="Google Sans" w:hAnsi="Google Sans" w:cs="Google Sans"/>
                <w:color w:val="1F1F1F"/>
              </w:rPr>
              <w:t>qualité</w:t>
            </w:r>
            <w:proofErr w:type="spellEnd"/>
            <w:r>
              <w:rPr>
                <w:rFonts w:ascii="Google Sans" w:eastAsia="Google Sans" w:hAnsi="Google Sans" w:cs="Google Sans"/>
                <w:color w:val="1F1F1F"/>
              </w:rPr>
              <w:t xml:space="preserve">-prix </w:t>
            </w:r>
            <w:r>
              <w:rPr>
                <w:rFonts w:ascii="Google Sans" w:eastAsia="Google Sans" w:hAnsi="Google Sans" w:cs="Google Sans"/>
                <w:color w:val="1F1F1F"/>
              </w:rPr>
              <w:lastRenderedPageBreak/>
              <w:t>(Value for money)</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53D0DF5"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lastRenderedPageBreak/>
              <w:t xml:space="preserve">L'utilisation efficace, efficiente, économique et équitable des ressources pour atteindre les résultats prévus et maximiser les </w:t>
            </w:r>
            <w:r w:rsidRPr="0020222E">
              <w:rPr>
                <w:rFonts w:ascii="Google Sans" w:eastAsia="Google Sans" w:hAnsi="Google Sans" w:cs="Google Sans"/>
                <w:color w:val="1F1F1F"/>
                <w:lang w:val="fr-FR"/>
              </w:rPr>
              <w:lastRenderedPageBreak/>
              <w:t>avantages pour les adolescents et les communautés.</w:t>
            </w:r>
          </w:p>
        </w:tc>
      </w:tr>
      <w:tr w:rsidR="00E25B9F" w:rsidRPr="0020222E" w14:paraId="36170EBC" w14:textId="77777777">
        <w:tc>
          <w:tcPr>
            <w:tcW w:w="25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4E0F126"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lastRenderedPageBreak/>
              <w:t>Durabilité</w:t>
            </w:r>
            <w:proofErr w:type="spellEnd"/>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4901233"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La probabilité que les avantages, les capacités, les partenariats, les financements ou les systèmes établis par le projet se poursuivent après la fin du financement de la subvention.</w:t>
            </w:r>
          </w:p>
        </w:tc>
      </w:tr>
    </w:tbl>
    <w:p w14:paraId="2D9D24D4"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A. Contexte :</w:t>
      </w:r>
      <w:r w:rsidRPr="0020222E">
        <w:rPr>
          <w:rFonts w:ascii="Google Sans" w:eastAsia="Google Sans" w:hAnsi="Google Sans" w:cs="Google Sans"/>
          <w:color w:val="1F1F1F"/>
          <w:lang w:val="fr-FR"/>
        </w:rPr>
        <w:t xml:space="preserve"> GFF x CIVIC Pilier 2 est mis en œuvre par le biais du consortium ALIGN — Action Contre la Faim, le Réseau de Nutrition d'Urgence (ENN) et The Youth Café — pour faire progresser l'adoption d'innovations éprouvées de la société civile et dirigées par des jeunes en matière de santé et de nutrition des adolescents. ALIGN cherche à intégrer des solutions communautaires efficaces dans les politiques, stratégies et systèmes nationaux, ainsi que dans les activités soutenues par le GFF et le Groupe de la Banque mon</w:t>
      </w:r>
      <w:r w:rsidRPr="0020222E">
        <w:rPr>
          <w:rFonts w:ascii="Google Sans" w:eastAsia="Google Sans" w:hAnsi="Google Sans" w:cs="Google Sans"/>
          <w:color w:val="1F1F1F"/>
          <w:lang w:val="fr-FR"/>
        </w:rPr>
        <w:t>diale, en renforçant les capacités et l'engagement significatif des OSC et des ODJ, en permettant l'adaptation et la mise à l'échelle responsable, en facilitant l'apprentissage par les pairs entre les pays et en générant des preuves crédibles pour les décisions politiques, de financement et de programme. Les consortiums nationaux sélectionnés recevront une assistance technique sur mesure, un mentorat et l'accès à une Communauté de Pratique pour co-concevoir des innovations avec les adolescents et les homolo</w:t>
      </w:r>
      <w:r w:rsidRPr="0020222E">
        <w:rPr>
          <w:rFonts w:ascii="Google Sans" w:eastAsia="Google Sans" w:hAnsi="Google Sans" w:cs="Google Sans"/>
          <w:color w:val="1F1F1F"/>
          <w:lang w:val="fr-FR"/>
        </w:rPr>
        <w:t>gues gouvernementaux, renforcer les systèmes organisationnels et techniques, documenter les résultats et l'apprentissage, et développer des voies réalisables pour l'institutionnalisation. Le projet devrait accroître la capacité des organisations locales à influencer les processus du gouvernement et des partenaires de développement, à établir des mécanismes d'engagement et de redevabilité des jeunes plus solides, et à soutenir un accès plus équitable à des services de santé et de nutrition de qualité pour le</w:t>
      </w:r>
      <w:r w:rsidRPr="0020222E">
        <w:rPr>
          <w:rFonts w:ascii="Google Sans" w:eastAsia="Google Sans" w:hAnsi="Google Sans" w:cs="Google Sans"/>
          <w:color w:val="1F1F1F"/>
          <w:lang w:val="fr-FR"/>
        </w:rPr>
        <w:t>s adolescents.</w:t>
      </w:r>
    </w:p>
    <w:p w14:paraId="009AAD64"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B. Objectif du Projet</w:t>
      </w:r>
      <w:r w:rsidRPr="0020222E">
        <w:rPr>
          <w:rFonts w:ascii="Google Sans" w:eastAsia="Google Sans" w:hAnsi="Google Sans" w:cs="Google Sans"/>
          <w:color w:val="1F1F1F"/>
          <w:lang w:val="fr-FR"/>
        </w:rPr>
        <w:t xml:space="preserve"> Le but de cet Appel à Manifestations d'Intérêt et à Propositions est d'identifier et de soutenir des consortiums OSC-ODJ au niveau national proposant des innovations éprouvées en matière de santé et de nutrition des adolescents qui sont prêtes pour une adaptation, une mise à l'échelle, une réplication ou une institutionnalisation responsable. ALIGN renforcera la capacité et la participation significative des OSC et ODJ sélectionnées pour co-concevoir la mise en œuvre avec les adolescents et les homologues </w:t>
      </w:r>
      <w:r w:rsidRPr="0020222E">
        <w:rPr>
          <w:rFonts w:ascii="Google Sans" w:eastAsia="Google Sans" w:hAnsi="Google Sans" w:cs="Google Sans"/>
          <w:color w:val="1F1F1F"/>
          <w:lang w:val="fr-FR"/>
        </w:rPr>
        <w:t>gouvernementaux, générer des preuves crédibles sur les résultats, les coûts et les leçons de mise en œuvre, et poursuivre des voies pratiques pour l'adoption par le gouvernement, l'influence politique, le financement national et l'institutionnalisation. À la fin du projet, les organisations participantes devraient être mieux équipées pour s'engager dans les processus du gouvernement, du GFF et ceux soutenus par le Groupe de la Banque mondiale, pour appliquer des mécanismes de redevabilité des jeunes plus so</w:t>
      </w:r>
      <w:r w:rsidRPr="0020222E">
        <w:rPr>
          <w:rFonts w:ascii="Google Sans" w:eastAsia="Google Sans" w:hAnsi="Google Sans" w:cs="Google Sans"/>
          <w:color w:val="1F1F1F"/>
          <w:lang w:val="fr-FR"/>
        </w:rPr>
        <w:t>lides et utiliser des plans de mise à l'échelle fondés sur des preuves pour améliorer l'accès équitable à des services de santé et de nutrition des adolescents de qualité.</w:t>
      </w:r>
    </w:p>
    <w:p w14:paraId="48FA76AC"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C. Portée du Projet</w:t>
      </w:r>
      <w:r w:rsidRPr="0020222E">
        <w:rPr>
          <w:rFonts w:ascii="Google Sans" w:eastAsia="Google Sans" w:hAnsi="Google Sans" w:cs="Google Sans"/>
          <w:color w:val="1F1F1F"/>
          <w:lang w:val="fr-FR"/>
        </w:rPr>
        <w:t xml:space="preserve"> ALIGN soutiendra la mise à l'échelle d'innovations locales éprouvées en matière de santé et de nutrition des adolescents, plutôt que le test initial de nouveaux concepts. Les interventions proposées doivent répondre à des lacunes documentées dans les </w:t>
      </w:r>
      <w:r w:rsidRPr="0020222E">
        <w:rPr>
          <w:rFonts w:ascii="Google Sans" w:eastAsia="Google Sans" w:hAnsi="Google Sans" w:cs="Google Sans"/>
          <w:color w:val="1F1F1F"/>
          <w:lang w:val="fr-FR"/>
        </w:rPr>
        <w:lastRenderedPageBreak/>
        <w:t>services ou les systèmes, démontrer une expérience de mise en œuvre antérieure et des preuves d'efficacité, et présenter une voie réalisable pour l'expansion géographique, l'intégration institutionnelle, l'adaptation ou la réplication au sein des systèmes nati</w:t>
      </w:r>
      <w:r w:rsidRPr="0020222E">
        <w:rPr>
          <w:rFonts w:ascii="Google Sans" w:eastAsia="Google Sans" w:hAnsi="Google Sans" w:cs="Google Sans"/>
          <w:color w:val="1F1F1F"/>
          <w:lang w:val="fr-FR"/>
        </w:rPr>
        <w:t>onaux.</w:t>
      </w:r>
    </w:p>
    <w:p w14:paraId="4BA777CE"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Les domaines thématiques éligibles comprennent :</w:t>
      </w:r>
    </w:p>
    <w:p w14:paraId="72ABFE89" w14:textId="77777777" w:rsidR="00E25B9F" w:rsidRPr="0020222E" w:rsidRDefault="003D6A3A">
      <w:pPr>
        <w:numPr>
          <w:ilvl w:val="0"/>
          <w:numId w:val="2"/>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Prévention de la grossesse chez les adolescentes.</w:t>
      </w:r>
    </w:p>
    <w:p w14:paraId="4B50D2C4" w14:textId="77777777" w:rsidR="00E25B9F" w:rsidRPr="0020222E" w:rsidRDefault="003D6A3A">
      <w:pPr>
        <w:numPr>
          <w:ilvl w:val="0"/>
          <w:numId w:val="2"/>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Soins maternels respectueux et fondés sur les droits pour les adolescentes.</w:t>
      </w:r>
    </w:p>
    <w:p w14:paraId="76B292ED" w14:textId="77777777" w:rsidR="00E25B9F" w:rsidRPr="0020222E" w:rsidRDefault="003D6A3A">
      <w:pPr>
        <w:numPr>
          <w:ilvl w:val="0"/>
          <w:numId w:val="2"/>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Nutrition des adolescents, prévention de la malnutrition et systèmes alimentaires.</w:t>
      </w:r>
    </w:p>
    <w:p w14:paraId="3BBB7340" w14:textId="77777777" w:rsidR="00E25B9F" w:rsidRPr="0020222E" w:rsidRDefault="003D6A3A">
      <w:pPr>
        <w:numPr>
          <w:ilvl w:val="0"/>
          <w:numId w:val="2"/>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Santé mentale et soutien psychosocial pour les adolescents.</w:t>
      </w:r>
    </w:p>
    <w:p w14:paraId="2141407C" w14:textId="77777777" w:rsidR="00E25B9F" w:rsidRPr="0020222E" w:rsidRDefault="003D6A3A">
      <w:pPr>
        <w:numPr>
          <w:ilvl w:val="0"/>
          <w:numId w:val="2"/>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Redevabilité du système de santé et gouvernance des jeunes.</w:t>
      </w:r>
    </w:p>
    <w:p w14:paraId="5F538D8B"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Les modèles de solutions évolutives éligibles comprennent :</w:t>
      </w:r>
    </w:p>
    <w:p w14:paraId="2369E5B0" w14:textId="77777777" w:rsidR="00E25B9F" w:rsidRPr="0020222E" w:rsidRDefault="003D6A3A">
      <w:pPr>
        <w:numPr>
          <w:ilvl w:val="0"/>
          <w:numId w:val="3"/>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Approches de redevabilité communautaire, y compris les bulletins d'évaluation et les audits sociaux.</w:t>
      </w:r>
    </w:p>
    <w:p w14:paraId="309D62C3" w14:textId="77777777" w:rsidR="00E25B9F" w:rsidRPr="0020222E" w:rsidRDefault="003D6A3A">
      <w:pPr>
        <w:numPr>
          <w:ilvl w:val="0"/>
          <w:numId w:val="3"/>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Approches d'engagement civique numérique, y compris les SMS et les plateformes d'écoute sociale.</w:t>
      </w:r>
    </w:p>
    <w:p w14:paraId="20E293CE" w14:textId="77777777" w:rsidR="00E25B9F" w:rsidRPr="0020222E" w:rsidRDefault="003D6A3A">
      <w:pPr>
        <w:numPr>
          <w:ilvl w:val="0"/>
          <w:numId w:val="3"/>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Coalitions de plaidoyer intersectorielles reliant la santé, l'éducation, le genre et d'autres acteurs pertinents.</w:t>
      </w:r>
    </w:p>
    <w:p w14:paraId="2F4D0BD2" w14:textId="77777777" w:rsidR="00E25B9F" w:rsidRPr="0020222E" w:rsidRDefault="003D6A3A">
      <w:pPr>
        <w:numPr>
          <w:ilvl w:val="0"/>
          <w:numId w:val="3"/>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Génération de preuves, recherche opérationnelle, études de coûts et documentation dirigée par des jeunes.</w:t>
      </w:r>
    </w:p>
    <w:p w14:paraId="39CB43CB" w14:textId="77777777" w:rsidR="00E25B9F" w:rsidRPr="0020222E" w:rsidRDefault="003D6A3A">
      <w:pPr>
        <w:numPr>
          <w:ilvl w:val="0"/>
          <w:numId w:val="3"/>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Autres modèles spécifiques au contexte soutenus par des preuves locales et alignés sur les priorités nationales ou infranationales en matière de santé et de nutrition des adolescents.</w:t>
      </w:r>
    </w:p>
    <w:p w14:paraId="45F487AE"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À travers ces domaines, les projets doivent définir les populations d'adolescents cibles et la couverture géographique ; prioriser les groupes mal desservis ; et s'assurer que les adolescents participent de manière significative à la co-conception, à la prestation, au suivi, à la documentation et à l'amélioration de la qualité. Les propositions doivent préciser les canaux de mise en œuvre, les accords de référencement et d'assurance qualité, l'engagement avec les autorités sanitaires gouvernementales et les</w:t>
      </w:r>
      <w:r w:rsidRPr="0020222E">
        <w:rPr>
          <w:rFonts w:ascii="Google Sans" w:eastAsia="Google Sans" w:hAnsi="Google Sans" w:cs="Google Sans"/>
          <w:color w:val="1F1F1F"/>
          <w:lang w:val="fr-FR"/>
        </w:rPr>
        <w:t xml:space="preserve"> autres parties prenantes locales, ainsi que les rôles complémentaires des partenaires du consortium. La portée doit également inclure la mesure des résultats, les retours des bénéficiaires, les activités d'évaluation des coûts ou d'apprentissage, les mesures de sauvegarde et de PSEA, la gestion des plaintes, les accords de sécurité et de protection des données, la gestion des risques et un plan opérationnel de 18 mois </w:t>
      </w:r>
      <w:proofErr w:type="gramStart"/>
      <w:r w:rsidRPr="0020222E">
        <w:rPr>
          <w:rFonts w:ascii="Google Sans" w:eastAsia="Google Sans" w:hAnsi="Google Sans" w:cs="Google Sans"/>
          <w:color w:val="1F1F1F"/>
          <w:lang w:val="fr-FR"/>
        </w:rPr>
        <w:t>lié</w:t>
      </w:r>
      <w:proofErr w:type="gramEnd"/>
      <w:r w:rsidRPr="0020222E">
        <w:rPr>
          <w:rFonts w:ascii="Google Sans" w:eastAsia="Google Sans" w:hAnsi="Google Sans" w:cs="Google Sans"/>
          <w:color w:val="1F1F1F"/>
          <w:lang w:val="fr-FR"/>
        </w:rPr>
        <w:t xml:space="preserve"> aux étapes d'institutionnalisation et de durabilité.</w:t>
      </w:r>
    </w:p>
    <w:p w14:paraId="5105FC3F"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D. Impact Prévu</w:t>
      </w:r>
      <w:r w:rsidRPr="0020222E">
        <w:rPr>
          <w:rFonts w:ascii="Google Sans" w:eastAsia="Google Sans" w:hAnsi="Google Sans" w:cs="Google Sans"/>
          <w:color w:val="1F1F1F"/>
          <w:lang w:val="fr-FR"/>
        </w:rPr>
        <w:t xml:space="preserve"> ALIGN a l'intention de contribuer à un accès plus équitable et soutenu à des services de qualité en matière de santé et de nutrition pour les adolescents en permettant aux innovations locales réussies de s'intégrer dans les politiques publiques, les programmes, les services, le financement et les systèmes de prestation. Au fil du temps, les OSC et les ODJ soutenues devraient exercer un leadership et une influence accrus dans les processus du gouvernement, du GFF et ceux soutenus par le Groupe de la Banque </w:t>
      </w:r>
      <w:r w:rsidRPr="0020222E">
        <w:rPr>
          <w:rFonts w:ascii="Google Sans" w:eastAsia="Google Sans" w:hAnsi="Google Sans" w:cs="Google Sans"/>
          <w:color w:val="1F1F1F"/>
          <w:lang w:val="fr-FR"/>
        </w:rPr>
        <w:t xml:space="preserve">mondiale ; les adolescents — en particulier ceux qui sont marginalisés — devraient avoir une voix plus forte dans la conception, la supervision et la redevabilité des services ; et les décideurs devraient disposer de preuves plus solides sur l'efficacité, les coûts et la mise en œuvre pour guider </w:t>
      </w:r>
      <w:r w:rsidRPr="0020222E">
        <w:rPr>
          <w:rFonts w:ascii="Google Sans" w:eastAsia="Google Sans" w:hAnsi="Google Sans" w:cs="Google Sans"/>
          <w:color w:val="1F1F1F"/>
          <w:lang w:val="fr-FR"/>
        </w:rPr>
        <w:lastRenderedPageBreak/>
        <w:t>l'adoption et les investissements. Le projet vise en fin de compte à garantir que les solutions communautaires efficaces se poursuivent au-delà de la période de subvention, soient reproduites ou étendues le cas éch</w:t>
      </w:r>
      <w:r w:rsidRPr="0020222E">
        <w:rPr>
          <w:rFonts w:ascii="Google Sans" w:eastAsia="Google Sans" w:hAnsi="Google Sans" w:cs="Google Sans"/>
          <w:color w:val="1F1F1F"/>
          <w:lang w:val="fr-FR"/>
        </w:rPr>
        <w:t>éant, et contribuent à l'amélioration de la santé, de la nutrition, de la participation, de la qualité des services et de la réactivité du système de santé pour les adolescents.</w:t>
      </w:r>
    </w:p>
    <w:p w14:paraId="6DAAD52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E. Enveloppe de Financement</w:t>
      </w:r>
      <w:r w:rsidRPr="0020222E">
        <w:rPr>
          <w:rFonts w:ascii="Google Sans" w:eastAsia="Google Sans" w:hAnsi="Google Sans" w:cs="Google Sans"/>
          <w:color w:val="1F1F1F"/>
          <w:lang w:val="fr-FR"/>
        </w:rPr>
        <w:t xml:space="preserve"> ALIGN a l'intention d'attribuer jusqu'à 12 sous-subventions — une dans chaque pays cible éligible — à un consortium au niveau national comprenant une Organisation de la Société Civile (OSC) locale et une Organisation Dirigée par des Jeunes (ODJ). Chaque attribution fournira 214 000 USD, y compris les frais généraux ne dépassant pas 7 %, pour soutenir une période de mise en œuvre allant jusqu'à 18 mois, avec une date de début prévue le 30 novembre 2026. Action Contre la Faim émettra et administrera les sous</w:t>
      </w:r>
      <w:r w:rsidRPr="0020222E">
        <w:rPr>
          <w:rFonts w:ascii="Google Sans" w:eastAsia="Google Sans" w:hAnsi="Google Sans" w:cs="Google Sans"/>
          <w:color w:val="1F1F1F"/>
          <w:lang w:val="fr-FR"/>
        </w:rPr>
        <w:t>-subventions au nom du consortium ALIGN. Les candidats doivent demander un montant proportionné à la portée proposée et démontrer un bon rapport qualité-prix, y compris des inducteurs de coûts clairs, des coûts unitaires raisonnables, des modalités de prestation efficaces et une allocation équitable des ressources aux adolescents mal desservis. Le financement total prévu disponible dans le cadre de cet appel s'élève à un maximum de 2 568 000 USD pour jusqu'à 12 attributions par pays, sous réserve de la qual</w:t>
      </w:r>
      <w:r w:rsidRPr="0020222E">
        <w:rPr>
          <w:rFonts w:ascii="Google Sans" w:eastAsia="Google Sans" w:hAnsi="Google Sans" w:cs="Google Sans"/>
          <w:color w:val="1F1F1F"/>
          <w:lang w:val="fr-FR"/>
        </w:rPr>
        <w:t>ité des candidatures, d'une diligence raisonnable réussie, de l'approbation finale et de la disponibilité des fonds.</w:t>
      </w:r>
    </w:p>
    <w:p w14:paraId="4DC011F5"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F. Conditions d'Éligibilité</w:t>
      </w:r>
      <w:r w:rsidRPr="0020222E">
        <w:rPr>
          <w:rFonts w:ascii="Google Sans" w:eastAsia="Google Sans" w:hAnsi="Google Sans" w:cs="Google Sans"/>
          <w:color w:val="1F1F1F"/>
          <w:lang w:val="fr-FR"/>
        </w:rPr>
        <w:t xml:space="preserve"> Les candidats doivent postuler en tant que consortium au niveau national comprenant une Organisation de la Société Civile (OSC) locale et une Organisation Dirigée par des Jeunes (ODJ) aux capacités complémentaires. Les organisations n'ont pas besoin d'appartenir à une coalition d'OSC du GFF existante. Les propositions doivent expliquer le rôle de chaque partenaire, les modalités de prise de décision, les mécanismes de redevabilité et l'allocation des ressources.</w:t>
      </w:r>
    </w:p>
    <w:p w14:paraId="5C7DC748"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Chaque consortium doit désigner une organisation chef de file ayant la responsabilité légale, financière, programmatique, de sauvegarde et de reporting de la subvention. La candidature doit décrire comment les fonds, les responsabilités, les décisions, les informations, les risques et la redevabilité seront partagés entre l'organisation chef de file et le partenaire.</w:t>
      </w:r>
    </w:p>
    <w:p w14:paraId="605308D8"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Enregistrement local et expérience :</w:t>
      </w:r>
      <w:r w:rsidRPr="0020222E">
        <w:rPr>
          <w:rFonts w:ascii="Google Sans" w:eastAsia="Google Sans" w:hAnsi="Google Sans" w:cs="Google Sans"/>
          <w:color w:val="1F1F1F"/>
          <w:lang w:val="fr-FR"/>
        </w:rPr>
        <w:t xml:space="preserve"> L'OSC doit être une organisation à but non lucratif légalement enregistrée opérant dans le pays éligible proposé depuis au moins deux ans, et l'ODJ doit être établie localement et active depuis au moins un an.</w:t>
      </w:r>
    </w:p>
    <w:p w14:paraId="6C8731B0"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Composition du consortium :</w:t>
      </w:r>
      <w:r w:rsidRPr="0020222E">
        <w:rPr>
          <w:rFonts w:ascii="Google Sans" w:eastAsia="Google Sans" w:hAnsi="Google Sans" w:cs="Google Sans"/>
          <w:color w:val="1F1F1F"/>
          <w:lang w:val="fr-FR"/>
        </w:rPr>
        <w:t xml:space="preserve"> La candidature doit être soumise conjointement par une OSC locale et une ODJ. Les partenaires doivent démontrer des capacités techniques, communautaires, d'engagement des jeunes, opérationnelles ou de </w:t>
      </w:r>
      <w:proofErr w:type="gramStart"/>
      <w:r w:rsidRPr="0020222E">
        <w:rPr>
          <w:rFonts w:ascii="Google Sans" w:eastAsia="Google Sans" w:hAnsi="Google Sans" w:cs="Google Sans"/>
          <w:color w:val="1F1F1F"/>
          <w:lang w:val="fr-FR"/>
        </w:rPr>
        <w:t>plaidoyer complémentaires</w:t>
      </w:r>
      <w:proofErr w:type="gramEnd"/>
      <w:r w:rsidRPr="0020222E">
        <w:rPr>
          <w:rFonts w:ascii="Google Sans" w:eastAsia="Google Sans" w:hAnsi="Google Sans" w:cs="Google Sans"/>
          <w:color w:val="1F1F1F"/>
          <w:lang w:val="fr-FR"/>
        </w:rPr>
        <w:t>.</w:t>
      </w:r>
    </w:p>
    <w:p w14:paraId="198A2A5F"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Exclusivité de la candidature et éligibilité croisée entre les piliers :</w:t>
      </w:r>
      <w:r w:rsidRPr="0020222E">
        <w:rPr>
          <w:rFonts w:ascii="Google Sans" w:eastAsia="Google Sans" w:hAnsi="Google Sans" w:cs="Google Sans"/>
          <w:color w:val="1F1F1F"/>
          <w:lang w:val="fr-FR"/>
        </w:rPr>
        <w:t xml:space="preserve"> Une organisation ne peut participer qu'à une seule candidature de consortium ALIGN dans le même pays. Les organisations sélectionnées pour un financement au titre d'un autre pilier GFF x CIVIC ne sont pas éligibles pour recevoir un financement superposé pour les mêmes activités, coûts ou résultats dans le cadre d'ALIGN.</w:t>
      </w:r>
    </w:p>
    <w:p w14:paraId="648834AF"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lastRenderedPageBreak/>
        <w:t>Innovation éprouvée et expertise technique :</w:t>
      </w:r>
      <w:r w:rsidRPr="0020222E">
        <w:rPr>
          <w:rFonts w:ascii="Google Sans" w:eastAsia="Google Sans" w:hAnsi="Google Sans" w:cs="Google Sans"/>
          <w:color w:val="1F1F1F"/>
          <w:lang w:val="fr-FR"/>
        </w:rPr>
        <w:t xml:space="preserve"> Les candidats doivent démontrer une mise en œuvre antérieure réussie de l'innovation proposée en matière de santé ou de nutrition des adolescents, fournir des preuves crédibles de résultats et montrer une expertise technique pertinente. La connaissance des programmes soutenus par le GFF ou la Banque mondiale est un atout, mais n'est pas obligatoire.</w:t>
      </w:r>
    </w:p>
    <w:p w14:paraId="585A03ED"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Légitimité et inclusion communautaires :</w:t>
      </w:r>
      <w:r w:rsidRPr="0020222E">
        <w:rPr>
          <w:rFonts w:ascii="Google Sans" w:eastAsia="Google Sans" w:hAnsi="Google Sans" w:cs="Google Sans"/>
          <w:color w:val="1F1F1F"/>
          <w:lang w:val="fr-FR"/>
        </w:rPr>
        <w:t xml:space="preserve"> Les candidats doivent démontrer un fort ancrage communautaire, un engagement significatif auprès des adolescents, une représentativité organisationnelle et des approches pratiques pour atteindre les populations marginalisées.</w:t>
      </w:r>
    </w:p>
    <w:p w14:paraId="10557996"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Relations avec le gouvernement et les parties prenantes :</w:t>
      </w:r>
      <w:r w:rsidRPr="0020222E">
        <w:rPr>
          <w:rFonts w:ascii="Google Sans" w:eastAsia="Google Sans" w:hAnsi="Google Sans" w:cs="Google Sans"/>
          <w:color w:val="1F1F1F"/>
          <w:lang w:val="fr-FR"/>
        </w:rPr>
        <w:t xml:space="preserve"> Les candidats doivent démontrer des voies existantes ou crédibles d'engagement avec les autorités sanitaires gouvernementales, les leaders communautaires, les acteurs de l'éducation, les organisations paires et d'autres parties prenantes nécessaires à la mise en œuvre, à l'influence politique et à l'intégration des systèmes.</w:t>
      </w:r>
    </w:p>
    <w:p w14:paraId="3A2624D8"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Capacité opérationnelle et fiduciaire :</w:t>
      </w:r>
      <w:r w:rsidRPr="0020222E">
        <w:rPr>
          <w:rFonts w:ascii="Google Sans" w:eastAsia="Google Sans" w:hAnsi="Google Sans" w:cs="Google Sans"/>
          <w:color w:val="1F1F1F"/>
          <w:lang w:val="fr-FR"/>
        </w:rPr>
        <w:t xml:space="preserve"> Le consortium doit disposer de systèmes de gestion financière et de contrôle interne de base, d'un compte bancaire institutionnel dédié, de modalités d'approvisionnement et de gestion des risques appropriées, ainsi que d'un personnel suffisant pour gérer l'attribution.</w:t>
      </w:r>
    </w:p>
    <w:p w14:paraId="64603288"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Plafond budgétaire demandé basé sur la capacité de gestion démontrée :</w:t>
      </w:r>
      <w:r w:rsidRPr="0020222E">
        <w:rPr>
          <w:rFonts w:ascii="Google Sans" w:eastAsia="Google Sans" w:hAnsi="Google Sans" w:cs="Google Sans"/>
          <w:color w:val="1F1F1F"/>
          <w:lang w:val="fr-FR"/>
        </w:rPr>
        <w:t xml:space="preserve"> Le montant demandé dans le cadre de cet appel ne doit pas dépasser le plus gros budget de projet total géré avec succès par l'organisation chef de file au cours des cinq années précédant la date limite de candidature. Les candidats doivent fournir des preuves vérifiables du budget de projet pertinent et de leur responsabilité dans sa gestion.</w:t>
      </w:r>
    </w:p>
    <w:p w14:paraId="597F70DC"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Intégrité et statut légal :</w:t>
      </w:r>
      <w:r w:rsidRPr="0020222E">
        <w:rPr>
          <w:rFonts w:ascii="Google Sans" w:eastAsia="Google Sans" w:hAnsi="Google Sans" w:cs="Google Sans"/>
          <w:color w:val="1F1F1F"/>
          <w:lang w:val="fr-FR"/>
        </w:rPr>
        <w:t xml:space="preserve"> Les candidats doivent confirmer qu'ils ne sont pas activement exclus ou suspendus et doivent fournir une auto-déclaration d'intégrité.</w:t>
      </w:r>
    </w:p>
    <w:p w14:paraId="09197F84"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Sauvegarde et sécurité :</w:t>
      </w:r>
      <w:r w:rsidRPr="0020222E">
        <w:rPr>
          <w:rFonts w:ascii="Google Sans" w:eastAsia="Google Sans" w:hAnsi="Google Sans" w:cs="Google Sans"/>
          <w:color w:val="1F1F1F"/>
          <w:lang w:val="fr-FR"/>
        </w:rPr>
        <w:t xml:space="preserve"> Les candidats doivent avoir, ou s'engager à adopter, des normes PSEA et de sauvegarde ; utiliser le Mécanisme de gestion des plaintes d'ALIGN ; maintenir des modalités confidentielles de signalement et d'orientation ; et appliquer des protocoles de sécurité appropriés dans les zones touchées par un conflit.</w:t>
      </w:r>
    </w:p>
    <w:p w14:paraId="323DAB65"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Organisation chef de file et capacité de partenariat :</w:t>
      </w:r>
      <w:r w:rsidRPr="0020222E">
        <w:rPr>
          <w:rFonts w:ascii="Google Sans" w:eastAsia="Google Sans" w:hAnsi="Google Sans" w:cs="Google Sans"/>
          <w:color w:val="1F1F1F"/>
          <w:lang w:val="fr-FR"/>
        </w:rPr>
        <w:t xml:space="preserve"> L'organisation chef de file doit démontrer sa personnalité juridique, sa gouvernance, sa gestion financière, ses contrôles internes, ses achats, sa préparation aux audits, son personnel et sa capacité à conclure et à gérer la subvention. Au sein du consortium, les partenaires doivent démontrer une expertise complémentaire en matière de santé et de nutrition des adolescents, de leadership des jeunes, d'engagement communautaire, de génération de preuves, de sauvegarde, d'engagement gouvernemental et de mise </w:t>
      </w:r>
      <w:r w:rsidRPr="0020222E">
        <w:rPr>
          <w:rFonts w:ascii="Google Sans" w:eastAsia="Google Sans" w:hAnsi="Google Sans" w:cs="Google Sans"/>
          <w:color w:val="1F1F1F"/>
          <w:lang w:val="fr-FR"/>
        </w:rPr>
        <w:t>à l'échelle responsable.</w:t>
      </w:r>
    </w:p>
    <w:p w14:paraId="02E4FD43" w14:textId="77777777" w:rsidR="00E25B9F" w:rsidRPr="0020222E" w:rsidRDefault="003D6A3A">
      <w:pPr>
        <w:numPr>
          <w:ilvl w:val="0"/>
          <w:numId w:val="4"/>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Preuves requises au stade de l'AMI :</w:t>
      </w:r>
      <w:r w:rsidRPr="0020222E">
        <w:rPr>
          <w:rFonts w:ascii="Google Sans" w:eastAsia="Google Sans" w:hAnsi="Google Sans" w:cs="Google Sans"/>
          <w:color w:val="1F1F1F"/>
          <w:lang w:val="fr-FR"/>
        </w:rPr>
        <w:t xml:space="preserve"> Les candidats doivent fournir un certificat d'enregistrement légal ou de constitution, la preuve d'un compte bancaire institutionnel dédié et la confirmation de non-exclusion ou une auto-déclaration d'intégrité.</w:t>
      </w:r>
    </w:p>
    <w:p w14:paraId="25D4B654"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Soumission et Évaluation</w:t>
      </w:r>
      <w:r w:rsidRPr="0020222E">
        <w:rPr>
          <w:rFonts w:ascii="Google Sans" w:eastAsia="Google Sans" w:hAnsi="Google Sans" w:cs="Google Sans"/>
          <w:color w:val="1F1F1F"/>
          <w:lang w:val="fr-FR"/>
        </w:rPr>
        <w:t xml:space="preserve"> </w:t>
      </w:r>
      <w:r w:rsidRPr="0020222E">
        <w:rPr>
          <w:rFonts w:ascii="Google Sans" w:eastAsia="Google Sans" w:hAnsi="Google Sans" w:cs="Google Sans"/>
          <w:b/>
          <w:bCs/>
          <w:color w:val="1F1F1F"/>
          <w:lang w:val="fr-FR"/>
        </w:rPr>
        <w:t>G. Exigences et Instructions de Soumission des Propositions</w:t>
      </w:r>
      <w:r w:rsidRPr="0020222E">
        <w:rPr>
          <w:rFonts w:ascii="Google Sans" w:eastAsia="Google Sans" w:hAnsi="Google Sans" w:cs="Google Sans"/>
          <w:color w:val="1F1F1F"/>
          <w:lang w:val="fr-FR"/>
        </w:rPr>
        <w:t xml:space="preserve"> </w:t>
      </w:r>
      <w:r w:rsidRPr="0020222E">
        <w:rPr>
          <w:rFonts w:ascii="Google Sans" w:eastAsia="Google Sans" w:hAnsi="Google Sans" w:cs="Google Sans"/>
          <w:color w:val="1F1F1F"/>
          <w:lang w:val="fr-FR"/>
        </w:rPr>
        <w:lastRenderedPageBreak/>
        <w:t>ALIGN utilise un processus de sélection à deux niveaux pour réduire le fardeau initial de la candidature, évaluer l'éligibilité et l'adéquation stratégique avant de demander une proposition complète, et garantir une comparaison transparente des candidats les plus solides et les plus ancrés localement. Tous les consortiums éligibles commencent au Niveau 1 ; seuls les candidats officiellement présélectionnés à ce stade passeront au Niveau 2.</w:t>
      </w:r>
    </w:p>
    <w:p w14:paraId="6C6376D4" w14:textId="77777777" w:rsidR="00E25B9F" w:rsidRDefault="003D6A3A">
      <w:pPr>
        <w:numPr>
          <w:ilvl w:val="0"/>
          <w:numId w:val="5"/>
        </w:numPr>
        <w:pBdr>
          <w:top w:val="nil"/>
          <w:left w:val="nil"/>
          <w:bottom w:val="nil"/>
          <w:right w:val="nil"/>
          <w:between w:val="nil"/>
        </w:pBdr>
        <w:spacing w:line="275" w:lineRule="auto"/>
      </w:pPr>
      <w:r w:rsidRPr="0020222E">
        <w:rPr>
          <w:rFonts w:ascii="Google Sans" w:eastAsia="Google Sans" w:hAnsi="Google Sans" w:cs="Google Sans"/>
          <w:b/>
          <w:bCs/>
          <w:color w:val="1F1F1F"/>
          <w:lang w:val="fr-FR"/>
        </w:rPr>
        <w:t>Niveau 1 — Examen de la Manifestation d'Intérêt :</w:t>
      </w:r>
      <w:r w:rsidRPr="0020222E">
        <w:rPr>
          <w:rFonts w:ascii="Google Sans" w:eastAsia="Google Sans" w:hAnsi="Google Sans" w:cs="Google Sans"/>
          <w:color w:val="1F1F1F"/>
          <w:lang w:val="fr-FR"/>
        </w:rPr>
        <w:t xml:space="preserve"> Les consortiums OSC-ODJ éligibles soumettent une AMI concise d'au maximum cinq pages, en anglais ou en français, avant le 21 octobre 2026. L'AMI fournit une évaluation de première étape de l'éligibilité du consortium, de sa légitimité communautaire, de son approche centrée sur les adolescents, de sa capacité organisationnelle et financière, des preuves de son succès antérieur, de son alignement stratégique, des modalités de partenariat et de son potentiel de mise à l'échelle de l'innovation proposée. Les c</w:t>
      </w:r>
      <w:r w:rsidRPr="0020222E">
        <w:rPr>
          <w:rFonts w:ascii="Google Sans" w:eastAsia="Google Sans" w:hAnsi="Google Sans" w:cs="Google Sans"/>
          <w:color w:val="1F1F1F"/>
          <w:lang w:val="fr-FR"/>
        </w:rPr>
        <w:t xml:space="preserve">andidats doivent également fournir les documents justificatifs requis pour le Niveau 1. Un comité national note les AMI éligibles à l'aide des critères publiés pour le Niveau 1 et présélectionne les trois meilleurs candidats de chaque pays. </w:t>
      </w:r>
      <w:r>
        <w:rPr>
          <w:rFonts w:ascii="Google Sans" w:eastAsia="Google Sans" w:hAnsi="Google Sans" w:cs="Google Sans"/>
          <w:color w:val="1F1F1F"/>
        </w:rPr>
        <w:t xml:space="preserve">Les </w:t>
      </w:r>
      <w:proofErr w:type="spellStart"/>
      <w:r>
        <w:rPr>
          <w:rFonts w:ascii="Google Sans" w:eastAsia="Google Sans" w:hAnsi="Google Sans" w:cs="Google Sans"/>
          <w:color w:val="1F1F1F"/>
        </w:rPr>
        <w:t>résultats</w:t>
      </w:r>
      <w:proofErr w:type="spellEnd"/>
      <w:r>
        <w:rPr>
          <w:rFonts w:ascii="Google Sans" w:eastAsia="Google Sans" w:hAnsi="Google Sans" w:cs="Google Sans"/>
          <w:color w:val="1F1F1F"/>
        </w:rPr>
        <w:t xml:space="preserve"> de </w:t>
      </w:r>
      <w:proofErr w:type="spellStart"/>
      <w:r>
        <w:rPr>
          <w:rFonts w:ascii="Google Sans" w:eastAsia="Google Sans" w:hAnsi="Google Sans" w:cs="Google Sans"/>
          <w:color w:val="1F1F1F"/>
        </w:rPr>
        <w:t>l'AMI</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seront</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annoncés</w:t>
      </w:r>
      <w:proofErr w:type="spellEnd"/>
      <w:r>
        <w:rPr>
          <w:rFonts w:ascii="Google Sans" w:eastAsia="Google Sans" w:hAnsi="Google Sans" w:cs="Google Sans"/>
          <w:color w:val="1F1F1F"/>
        </w:rPr>
        <w:t xml:space="preserve"> le 2 </w:t>
      </w:r>
      <w:proofErr w:type="spellStart"/>
      <w:r>
        <w:rPr>
          <w:rFonts w:ascii="Google Sans" w:eastAsia="Google Sans" w:hAnsi="Google Sans" w:cs="Google Sans"/>
          <w:color w:val="1F1F1F"/>
        </w:rPr>
        <w:t>novembre</w:t>
      </w:r>
      <w:proofErr w:type="spellEnd"/>
      <w:r>
        <w:rPr>
          <w:rFonts w:ascii="Google Sans" w:eastAsia="Google Sans" w:hAnsi="Google Sans" w:cs="Google Sans"/>
          <w:color w:val="1F1F1F"/>
        </w:rPr>
        <w:t xml:space="preserve"> 2026.</w:t>
      </w:r>
    </w:p>
    <w:p w14:paraId="3ED28A58" w14:textId="77777777" w:rsidR="00E25B9F" w:rsidRPr="0020222E" w:rsidRDefault="003D6A3A">
      <w:pPr>
        <w:numPr>
          <w:ilvl w:val="0"/>
          <w:numId w:val="5"/>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Niveau 2 — Évaluation de la proposition complète :</w:t>
      </w:r>
      <w:r w:rsidRPr="0020222E">
        <w:rPr>
          <w:rFonts w:ascii="Google Sans" w:eastAsia="Google Sans" w:hAnsi="Google Sans" w:cs="Google Sans"/>
          <w:color w:val="1F1F1F"/>
          <w:lang w:val="fr-FR"/>
        </w:rPr>
        <w:t xml:space="preserve"> Les candidats présélectionnés sont invités à soumettre une proposition complète d'au maximum 15 pages, hors annexes, d'ici le 16 novembre 2026. La proposition complète développe l'AMI en une conception technique détaillée, une théorie du changement, un plan de mise en œuvre et de mise à l'échelle, un cadre de résultats et de suivi, une approche d'engagement des parties prenantes et des jeunes, des modalités de gouvernance du consortium, des mesures de gestion des risques et de sauvegarde, une stratégie de </w:t>
      </w:r>
      <w:r w:rsidRPr="0020222E">
        <w:rPr>
          <w:rFonts w:ascii="Google Sans" w:eastAsia="Google Sans" w:hAnsi="Google Sans" w:cs="Google Sans"/>
          <w:color w:val="1F1F1F"/>
          <w:lang w:val="fr-FR"/>
        </w:rPr>
        <w:t>durabilité et de sortie, et un budget détaillé avec une justification du rapport qualité-prix. Des annexes obligatoires doivent accompagner la soumission. Les candidats présélectionnés pour la candidature complète du Niveau 2 doivent être prêts à se soumettre à une vérification préalable (due diligence) pré-attribution et à fournir la documentation juridique, de gouvernance, financière, d'audit, de sauvegarde, opérationnelle et réglementaire demandée. Un comité mondial évalue ensuite les propositions complè</w:t>
      </w:r>
      <w:r w:rsidRPr="0020222E">
        <w:rPr>
          <w:rFonts w:ascii="Google Sans" w:eastAsia="Google Sans" w:hAnsi="Google Sans" w:cs="Google Sans"/>
          <w:color w:val="1F1F1F"/>
          <w:lang w:val="fr-FR"/>
        </w:rPr>
        <w:t>tes à l'aide des critères pondérés publiés pour le Niveau 2. La proposition conforme la mieux notée dans chaque pays éligible sera recommandée pour l'attribution, sous réserve de vérification, de diligence raisonnable, de financement disponible et d'approbation finale. La sélection finale ne constitue pas une attribution tant que la diligence raisonnable n'est pas terminée de manière satisfaisante et que l'accord de subvention n'est pas signé.</w:t>
      </w:r>
    </w:p>
    <w:p w14:paraId="2E121807" w14:textId="77777777" w:rsidR="00E25B9F" w:rsidRDefault="003D6A3A">
      <w:pPr>
        <w:pBdr>
          <w:top w:val="nil"/>
          <w:left w:val="nil"/>
          <w:bottom w:val="nil"/>
          <w:right w:val="nil"/>
          <w:between w:val="nil"/>
        </w:pBdr>
        <w:spacing w:line="275" w:lineRule="auto"/>
        <w:rPr>
          <w:rFonts w:ascii="Google Sans" w:eastAsia="Google Sans" w:hAnsi="Google Sans" w:cs="Google Sans"/>
          <w:b/>
          <w:bCs/>
          <w:color w:val="1F1F1F"/>
        </w:rPr>
      </w:pPr>
      <w:r>
        <w:rPr>
          <w:rFonts w:ascii="Google Sans" w:eastAsia="Google Sans" w:hAnsi="Google Sans" w:cs="Google Sans"/>
          <w:b/>
          <w:bCs/>
          <w:color w:val="1F1F1F"/>
        </w:rPr>
        <w:t xml:space="preserve">Instructions de </w:t>
      </w:r>
      <w:proofErr w:type="spellStart"/>
      <w:r>
        <w:rPr>
          <w:rFonts w:ascii="Google Sans" w:eastAsia="Google Sans" w:hAnsi="Google Sans" w:cs="Google Sans"/>
          <w:b/>
          <w:bCs/>
          <w:color w:val="1F1F1F"/>
        </w:rPr>
        <w:t>Soumission</w:t>
      </w:r>
      <w:proofErr w:type="spellEnd"/>
    </w:p>
    <w:p w14:paraId="07309804" w14:textId="77777777" w:rsidR="00E25B9F" w:rsidRPr="0020222E" w:rsidRDefault="003D6A3A">
      <w:pPr>
        <w:numPr>
          <w:ilvl w:val="0"/>
          <w:numId w:val="6"/>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Formats de fichiers :</w:t>
      </w:r>
      <w:r w:rsidRPr="0020222E">
        <w:rPr>
          <w:rFonts w:ascii="Google Sans" w:eastAsia="Google Sans" w:hAnsi="Google Sans" w:cs="Google Sans"/>
          <w:color w:val="1F1F1F"/>
          <w:lang w:val="fr-FR"/>
        </w:rPr>
        <w:t xml:space="preserve"> La Manifestation d'Intérêt (et la Proposition Complète ultérieure, si présélectionnée) doit être soumise sous la forme d'un document Microsoft Word. Le budget détaillé (pour le Niveau 2) doit être soumis en utilisant le modèle fourni sous la forme d'un document Microsoft Excel. Les documents justificatifs, tels que la preuve d'enregistrement légal et les coordonnées du compte bancaire, doivent être soumis sous forme de fichiers PDF ou JPEG.</w:t>
      </w:r>
    </w:p>
    <w:p w14:paraId="6E449243" w14:textId="77777777" w:rsidR="00E25B9F" w:rsidRPr="0020222E" w:rsidRDefault="003D6A3A">
      <w:pPr>
        <w:numPr>
          <w:ilvl w:val="0"/>
          <w:numId w:val="6"/>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lastRenderedPageBreak/>
        <w:t>Langue :</w:t>
      </w:r>
      <w:r w:rsidRPr="0020222E">
        <w:rPr>
          <w:rFonts w:ascii="Google Sans" w:eastAsia="Google Sans" w:hAnsi="Google Sans" w:cs="Google Sans"/>
          <w:color w:val="1F1F1F"/>
          <w:lang w:val="fr-FR"/>
        </w:rPr>
        <w:t xml:space="preserve"> Les candidats peuvent soumettre leurs propositions en anglais ou en français.</w:t>
      </w:r>
    </w:p>
    <w:p w14:paraId="57AC191D" w14:textId="77777777" w:rsidR="00E25B9F" w:rsidRPr="0020222E" w:rsidRDefault="003D6A3A">
      <w:pPr>
        <w:numPr>
          <w:ilvl w:val="0"/>
          <w:numId w:val="6"/>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Portail de soumission :</w:t>
      </w:r>
      <w:r w:rsidRPr="0020222E">
        <w:rPr>
          <w:rFonts w:ascii="Google Sans" w:eastAsia="Google Sans" w:hAnsi="Google Sans" w:cs="Google Sans"/>
          <w:color w:val="1F1F1F"/>
          <w:lang w:val="fr-FR"/>
        </w:rPr>
        <w:t xml:space="preserve"> Tous les documents de candidature doivent être soumis par </w:t>
      </w:r>
      <w:proofErr w:type="gramStart"/>
      <w:r w:rsidRPr="0020222E">
        <w:rPr>
          <w:rFonts w:ascii="Google Sans" w:eastAsia="Google Sans" w:hAnsi="Google Sans" w:cs="Google Sans"/>
          <w:color w:val="1F1F1F"/>
          <w:lang w:val="fr-FR"/>
        </w:rPr>
        <w:t>e-mail</w:t>
      </w:r>
      <w:proofErr w:type="gramEnd"/>
      <w:r w:rsidRPr="0020222E">
        <w:rPr>
          <w:rFonts w:ascii="Google Sans" w:eastAsia="Google Sans" w:hAnsi="Google Sans" w:cs="Google Sans"/>
          <w:color w:val="1F1F1F"/>
          <w:lang w:val="fr-FR"/>
        </w:rPr>
        <w:t xml:space="preserve"> à alignacf@actionagainsthunger.org.</w:t>
      </w:r>
    </w:p>
    <w:p w14:paraId="004C4249" w14:textId="77777777" w:rsidR="00E25B9F" w:rsidRPr="0020222E" w:rsidRDefault="003D6A3A">
      <w:pPr>
        <w:numPr>
          <w:ilvl w:val="0"/>
          <w:numId w:val="6"/>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Limites de taille de fichier :</w:t>
      </w:r>
      <w:r w:rsidRPr="0020222E">
        <w:rPr>
          <w:rFonts w:ascii="Google Sans" w:eastAsia="Google Sans" w:hAnsi="Google Sans" w:cs="Google Sans"/>
          <w:color w:val="1F1F1F"/>
          <w:lang w:val="fr-FR"/>
        </w:rPr>
        <w:t xml:space="preserve"> Pour garantir la livraison, veuillez vous assurer que les pièces jointes à votre e-mail ne totalisent pas plus de 150 Mo. Si nécessaire, vous pouvez envoyer les pièces jointes PDF et JPEG dans un </w:t>
      </w:r>
      <w:proofErr w:type="gramStart"/>
      <w:r w:rsidRPr="0020222E">
        <w:rPr>
          <w:rFonts w:ascii="Google Sans" w:eastAsia="Google Sans" w:hAnsi="Google Sans" w:cs="Google Sans"/>
          <w:color w:val="1F1F1F"/>
          <w:lang w:val="fr-FR"/>
        </w:rPr>
        <w:t>e-mail</w:t>
      </w:r>
      <w:proofErr w:type="gramEnd"/>
      <w:r w:rsidRPr="0020222E">
        <w:rPr>
          <w:rFonts w:ascii="Google Sans" w:eastAsia="Google Sans" w:hAnsi="Google Sans" w:cs="Google Sans"/>
          <w:color w:val="1F1F1F"/>
          <w:lang w:val="fr-FR"/>
        </w:rPr>
        <w:t xml:space="preserve"> de suivi séparé et clairement étiqueté.</w:t>
      </w:r>
    </w:p>
    <w:p w14:paraId="08978858" w14:textId="77777777" w:rsidR="00E25B9F" w:rsidRPr="0020222E" w:rsidRDefault="003D6A3A">
      <w:pPr>
        <w:numPr>
          <w:ilvl w:val="0"/>
          <w:numId w:val="6"/>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Confirmation :</w:t>
      </w:r>
      <w:r w:rsidRPr="0020222E">
        <w:rPr>
          <w:rFonts w:ascii="Google Sans" w:eastAsia="Google Sans" w:hAnsi="Google Sans" w:cs="Google Sans"/>
          <w:color w:val="1F1F1F"/>
          <w:lang w:val="fr-FR"/>
        </w:rPr>
        <w:t xml:space="preserve"> Vous recevrez une réponse automatique lorsque votre </w:t>
      </w:r>
      <w:proofErr w:type="gramStart"/>
      <w:r w:rsidRPr="0020222E">
        <w:rPr>
          <w:rFonts w:ascii="Google Sans" w:eastAsia="Google Sans" w:hAnsi="Google Sans" w:cs="Google Sans"/>
          <w:color w:val="1F1F1F"/>
          <w:lang w:val="fr-FR"/>
        </w:rPr>
        <w:t>e-mail</w:t>
      </w:r>
      <w:proofErr w:type="gramEnd"/>
      <w:r w:rsidRPr="0020222E">
        <w:rPr>
          <w:rFonts w:ascii="Google Sans" w:eastAsia="Google Sans" w:hAnsi="Google Sans" w:cs="Google Sans"/>
          <w:color w:val="1F1F1F"/>
          <w:lang w:val="fr-FR"/>
        </w:rPr>
        <w:t xml:space="preserve"> aura été reçu.</w:t>
      </w:r>
    </w:p>
    <w:p w14:paraId="385656B0" w14:textId="77777777" w:rsidR="00E25B9F" w:rsidRPr="0020222E" w:rsidRDefault="003D6A3A">
      <w:pPr>
        <w:numPr>
          <w:ilvl w:val="0"/>
          <w:numId w:val="6"/>
        </w:numPr>
        <w:pBdr>
          <w:top w:val="nil"/>
          <w:left w:val="nil"/>
          <w:bottom w:val="nil"/>
          <w:right w:val="nil"/>
          <w:between w:val="nil"/>
        </w:pBdr>
        <w:spacing w:line="275" w:lineRule="auto"/>
        <w:rPr>
          <w:lang w:val="fr-FR"/>
        </w:rPr>
      </w:pPr>
      <w:r w:rsidRPr="0020222E">
        <w:rPr>
          <w:rFonts w:ascii="Google Sans" w:eastAsia="Google Sans" w:hAnsi="Google Sans" w:cs="Google Sans"/>
          <w:b/>
          <w:bCs/>
          <w:color w:val="1F1F1F"/>
          <w:lang w:val="fr-FR"/>
        </w:rPr>
        <w:t>Date limite :</w:t>
      </w:r>
      <w:r w:rsidRPr="0020222E">
        <w:rPr>
          <w:rFonts w:ascii="Google Sans" w:eastAsia="Google Sans" w:hAnsi="Google Sans" w:cs="Google Sans"/>
          <w:color w:val="1F1F1F"/>
          <w:lang w:val="fr-FR"/>
        </w:rPr>
        <w:t xml:space="preserve"> Les soumissions d'AMI du Niveau 1 doivent être déposées le 21 octobre 2026.</w:t>
      </w:r>
    </w:p>
    <w:p w14:paraId="63486110"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b/>
          <w:bCs/>
          <w:color w:val="1F1F1F"/>
          <w:lang w:val="fr-FR"/>
        </w:rPr>
      </w:pPr>
      <w:r w:rsidRPr="0020222E">
        <w:rPr>
          <w:rFonts w:ascii="Google Sans" w:eastAsia="Google Sans" w:hAnsi="Google Sans" w:cs="Google Sans"/>
          <w:b/>
          <w:bCs/>
          <w:color w:val="1F1F1F"/>
          <w:lang w:val="fr-FR"/>
        </w:rPr>
        <w:t>H. Remarques Importantes et Avis de Non-responsabilité</w:t>
      </w:r>
    </w:p>
    <w:p w14:paraId="6AC08A23"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Action Contre la Faim (ACF), en consortium avec le Réseau de Nutrition d'Urgence (ENN) et The Youth Café (TYC) :</w:t>
      </w:r>
    </w:p>
    <w:p w14:paraId="77804D0F" w14:textId="77777777" w:rsidR="00E25B9F" w:rsidRPr="0020222E" w:rsidRDefault="003D6A3A">
      <w:pPr>
        <w:numPr>
          <w:ilvl w:val="0"/>
          <w:numId w:val="7"/>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Agira en tant que fiduciaire du consortium et déboursera et gérera toutes les sous-subventions.</w:t>
      </w:r>
    </w:p>
    <w:p w14:paraId="10192B51" w14:textId="77777777" w:rsidR="00E25B9F" w:rsidRPr="0020222E" w:rsidRDefault="003D6A3A">
      <w:pPr>
        <w:numPr>
          <w:ilvl w:val="0"/>
          <w:numId w:val="7"/>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Ne sera pas responsable des coûts encourus par les candidats lors de la préparation ou de la soumission des Manifestations d'Intérêt ou des Propositions Complètes.</w:t>
      </w:r>
    </w:p>
    <w:p w14:paraId="309F8770" w14:textId="77777777" w:rsidR="00E25B9F" w:rsidRPr="0020222E" w:rsidRDefault="003D6A3A">
      <w:pPr>
        <w:numPr>
          <w:ilvl w:val="0"/>
          <w:numId w:val="7"/>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Se réserve le droit d'accepter ou de rejeter toute proposition à son entière discrétion.</w:t>
      </w:r>
    </w:p>
    <w:p w14:paraId="731B9253" w14:textId="77777777" w:rsidR="00E25B9F" w:rsidRPr="0020222E" w:rsidRDefault="003D6A3A">
      <w:pPr>
        <w:numPr>
          <w:ilvl w:val="0"/>
          <w:numId w:val="7"/>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Se réserve le droit de négocier les termes finaux, les coûts et la portée des travaux avec les candidats sélectionnés, y compris la substance des propositions, l'inclusion ou l'exclusion de composants spécifiques et l'implication de tiers. L'acceptation d'une proposition ne constitue pas une acceptation de ses termes et conditions.</w:t>
      </w:r>
    </w:p>
    <w:p w14:paraId="03C974AA" w14:textId="77777777" w:rsidR="00E25B9F" w:rsidRPr="0020222E" w:rsidRDefault="003D6A3A">
      <w:pPr>
        <w:numPr>
          <w:ilvl w:val="0"/>
          <w:numId w:val="7"/>
        </w:numPr>
        <w:pBdr>
          <w:top w:val="nil"/>
          <w:left w:val="nil"/>
          <w:bottom w:val="nil"/>
          <w:right w:val="nil"/>
          <w:between w:val="nil"/>
        </w:pBdr>
        <w:spacing w:line="275" w:lineRule="auto"/>
        <w:rPr>
          <w:lang w:val="fr-FR"/>
        </w:rPr>
      </w:pPr>
      <w:r w:rsidRPr="0020222E">
        <w:rPr>
          <w:rFonts w:ascii="Google Sans" w:eastAsia="Google Sans" w:hAnsi="Google Sans" w:cs="Google Sans"/>
          <w:color w:val="1F1F1F"/>
          <w:lang w:val="fr-FR"/>
        </w:rPr>
        <w:t>Se réserve le droit de rejeter toute proposition reçue en réponse à cet appel et n'est en aucun cas tenu d'accepter une quelconque proposition.</w:t>
      </w:r>
    </w:p>
    <w:p w14:paraId="628D50A2"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Sauvegarde Financière Critique</w:t>
      </w:r>
      <w:r w:rsidRPr="0020222E">
        <w:rPr>
          <w:rFonts w:ascii="Google Sans" w:eastAsia="Google Sans" w:hAnsi="Google Sans" w:cs="Google Sans"/>
          <w:color w:val="1F1F1F"/>
          <w:lang w:val="fr-FR"/>
        </w:rPr>
        <w:t xml:space="preserve"> Tous les sous-bénéficiaires sélectionnés seront tenus d'adhérer strictement aux politiques d'Action Contre la Faim en matière de lutte contre la fraude, de lutte contre la corruption et de sauvegarde financière. Les candidats doivent démontrer des contrôles internes robustes et une ségrégation des tâches pour garantir que les fonds de la subvention sont totalement à l'abri des détournements, des conflits d'intérêts ou des financements illicites. Le non-respect de ces normes fiduciaires au cours du processu</w:t>
      </w:r>
      <w:r w:rsidRPr="0020222E">
        <w:rPr>
          <w:rFonts w:ascii="Google Sans" w:eastAsia="Google Sans" w:hAnsi="Google Sans" w:cs="Google Sans"/>
          <w:color w:val="1F1F1F"/>
          <w:lang w:val="fr-FR"/>
        </w:rPr>
        <w:t>s de diligence raisonnable ou de la phase de mise en œuvre entraînera la disqualification immédiate ou la résiliation de la sous-subvention.</w:t>
      </w:r>
    </w:p>
    <w:p w14:paraId="625B3D80"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i/>
          <w:iCs/>
          <w:color w:val="1F1F1F"/>
          <w:lang w:val="fr-FR"/>
        </w:rPr>
        <w:t>Processus en un coup d'œil :</w:t>
      </w:r>
      <w:r w:rsidRPr="0020222E">
        <w:rPr>
          <w:rFonts w:ascii="Google Sans" w:eastAsia="Google Sans" w:hAnsi="Google Sans" w:cs="Google Sans"/>
          <w:color w:val="1F1F1F"/>
          <w:lang w:val="fr-FR"/>
        </w:rPr>
        <w:t xml:space="preserve"> Soumission de l'AMI → éligibilité et notation du Niveau 1 → présélection nationale → invitation à soumettre une proposition complète → évaluation mondiale du Niveau 2 → diligence raisonnable et décision finale d'attribution.</w:t>
      </w:r>
    </w:p>
    <w:p w14:paraId="615351DB"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I. Critères d'Évaluation</w:t>
      </w:r>
      <w:r w:rsidRPr="0020222E">
        <w:rPr>
          <w:rFonts w:ascii="Google Sans" w:eastAsia="Google Sans" w:hAnsi="Google Sans" w:cs="Google Sans"/>
          <w:color w:val="1F1F1F"/>
          <w:lang w:val="fr-FR"/>
        </w:rPr>
        <w:t xml:space="preserve"> Les candidatures seront évaluées par rapport aux critères ci-dessous. Le Niveau 1 se concentre sur l'éligibilité, l'adéquation stratégique, la légitimité communautaire, la préparation organisationnelle et le potentiel de mise à l'échelle. Le Niveau 2 examine les mérites techniques, institutionnels, partenariaux, d'équité, de durabilité et financiers détaillés des propositions présélectionnées. Les évaluateurs doivent déclarer les conflits d'intérêts </w:t>
      </w:r>
      <w:r w:rsidRPr="0020222E">
        <w:rPr>
          <w:rFonts w:ascii="Google Sans" w:eastAsia="Google Sans" w:hAnsi="Google Sans" w:cs="Google Sans"/>
          <w:color w:val="1F1F1F"/>
          <w:lang w:val="fr-FR"/>
        </w:rPr>
        <w:lastRenderedPageBreak/>
        <w:t>réels, potentiels ou perçus et se récuser lorsqu'un confl</w:t>
      </w:r>
      <w:r w:rsidRPr="0020222E">
        <w:rPr>
          <w:rFonts w:ascii="Google Sans" w:eastAsia="Google Sans" w:hAnsi="Google Sans" w:cs="Google Sans"/>
          <w:color w:val="1F1F1F"/>
          <w:lang w:val="fr-FR"/>
        </w:rPr>
        <w:t>it existe. Les candidatures seront évaluées par rapport aux critères publiés à l'aide de directives de notation standardisées, d'une modération documentée et de procédures d'approbation appropriées aux étapes d'examen national et mondial.</w:t>
      </w:r>
    </w:p>
    <w:p w14:paraId="5478302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b/>
          <w:bCs/>
          <w:color w:val="1F1F1F"/>
          <w:lang w:val="fr-FR"/>
        </w:rPr>
      </w:pPr>
      <w:r w:rsidRPr="0020222E">
        <w:rPr>
          <w:rFonts w:ascii="Google Sans" w:eastAsia="Google Sans" w:hAnsi="Google Sans" w:cs="Google Sans"/>
          <w:b/>
          <w:bCs/>
          <w:color w:val="1F1F1F"/>
          <w:lang w:val="fr-FR"/>
        </w:rPr>
        <w:t>Critères d'Évaluation de la Manifestation d'Intérêt du Niveau 1</w:t>
      </w:r>
    </w:p>
    <w:p w14:paraId="21DC09BB" w14:textId="77777777" w:rsidR="00E25B9F" w:rsidRPr="0020222E" w:rsidRDefault="00E25B9F">
      <w:pPr>
        <w:pBdr>
          <w:top w:val="nil"/>
          <w:left w:val="nil"/>
          <w:bottom w:val="nil"/>
          <w:right w:val="nil"/>
          <w:between w:val="nil"/>
        </w:pBdr>
        <w:spacing w:line="275" w:lineRule="auto"/>
        <w:rPr>
          <w:rFonts w:ascii="Google Sans" w:eastAsia="Google Sans" w:hAnsi="Google Sans" w:cs="Google Sans"/>
          <w:b/>
          <w:bCs/>
          <w:color w:val="1F1F1F"/>
          <w:lang w:val="fr-FR"/>
        </w:rPr>
      </w:pPr>
    </w:p>
    <w:tbl>
      <w:tblPr>
        <w:tblStyle w:val="a1"/>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325"/>
        <w:gridCol w:w="1590"/>
        <w:gridCol w:w="5445"/>
      </w:tblGrid>
      <w:tr w:rsidR="00E25B9F" w14:paraId="646A4CC6" w14:textId="77777777">
        <w:tc>
          <w:tcPr>
            <w:tcW w:w="2325"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116E224E"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Critère</w:t>
            </w:r>
            <w:proofErr w:type="spellEnd"/>
          </w:p>
        </w:tc>
        <w:tc>
          <w:tcPr>
            <w:tcW w:w="159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4926B5DE"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Pondération</w:t>
            </w:r>
            <w:proofErr w:type="spellEnd"/>
          </w:p>
        </w:tc>
        <w:tc>
          <w:tcPr>
            <w:tcW w:w="5445"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6D1BF3F1"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r>
              <w:rPr>
                <w:rFonts w:ascii="Google Sans" w:eastAsia="Google Sans" w:hAnsi="Google Sans" w:cs="Google Sans"/>
                <w:b/>
                <w:bCs/>
                <w:color w:val="1F1F1F"/>
              </w:rPr>
              <w:t xml:space="preserve">Ce qui sera </w:t>
            </w:r>
            <w:proofErr w:type="spellStart"/>
            <w:r>
              <w:rPr>
                <w:rFonts w:ascii="Google Sans" w:eastAsia="Google Sans" w:hAnsi="Google Sans" w:cs="Google Sans"/>
                <w:b/>
                <w:bCs/>
                <w:color w:val="1F1F1F"/>
              </w:rPr>
              <w:t>évalué</w:t>
            </w:r>
            <w:proofErr w:type="spellEnd"/>
          </w:p>
        </w:tc>
      </w:tr>
      <w:tr w:rsidR="00E25B9F" w:rsidRPr="0020222E" w14:paraId="34995164"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D103B3E"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Approche Centrée sur les Adolescents</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2BDA844"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30 %</w:t>
            </w:r>
          </w:p>
        </w:tc>
        <w:tc>
          <w:tcPr>
            <w:tcW w:w="54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0ED2460"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Clarté du problème prioritaire de santé ou de nutrition des adolescents ; participation significative des adolescents à la conception, à la prestation, au suivi et à la prise de décision ; attention portée à la sécurité, aux droits, aux retours d'information et aux besoins des adolescents marginalisés.</w:t>
            </w:r>
          </w:p>
        </w:tc>
      </w:tr>
      <w:tr w:rsidR="00E25B9F" w:rsidRPr="0020222E" w14:paraId="1706273D"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8D42CFC"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Alignement</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Stratégique</w:t>
            </w:r>
            <w:proofErr w:type="spellEnd"/>
            <w:r>
              <w:rPr>
                <w:rFonts w:ascii="Google Sans" w:eastAsia="Google Sans" w:hAnsi="Google Sans" w:cs="Google Sans"/>
                <w:color w:val="1F1F1F"/>
              </w:rPr>
              <w:t xml:space="preserve"> &amp; Conception</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ECEC092"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25 %</w:t>
            </w:r>
          </w:p>
        </w:tc>
        <w:tc>
          <w:tcPr>
            <w:tcW w:w="54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CBE992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Alignement avec les priorités d'ALIGN et les besoins nationaux ou infranationaux ; preuves que l'innovation proposée a été mise en œuvre avec succès ; clarté des objectifs et des résultats attendus ; et une approche réaliste de l'adaptation, de l'institutionnalisation, de la réplication ou de la mise à l'échelle.</w:t>
            </w:r>
          </w:p>
        </w:tc>
      </w:tr>
      <w:tr w:rsidR="00E25B9F" w:rsidRPr="0020222E" w14:paraId="09E160E1"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21C203B"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Capacité</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Organisationnelle</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Enregistrement</w:t>
            </w:r>
            <w:proofErr w:type="spellEnd"/>
            <w:r>
              <w:rPr>
                <w:rFonts w:ascii="Google Sans" w:eastAsia="Google Sans" w:hAnsi="Google Sans" w:cs="Google Sans"/>
                <w:color w:val="1F1F1F"/>
              </w:rPr>
              <w:t xml:space="preserve"> &amp; Finances</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C0D65CD"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20 %</w:t>
            </w:r>
          </w:p>
        </w:tc>
        <w:tc>
          <w:tcPr>
            <w:tcW w:w="54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90758AA"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Enregistrement légal et historique d'exploitation ; expérience technique et de mise en œuvre pertinente ; systèmes de base de gestion financière et de contrôle interne ; compte bancaire dédié ; préparation du personnel et opérationnelle ; intégrité et non-exclusion. La familiarité avec les programmes soutenus par le GFF ou la Banque mondiale est un atout.</w:t>
            </w:r>
          </w:p>
        </w:tc>
      </w:tr>
      <w:tr w:rsidR="00E25B9F" w:rsidRPr="0020222E" w14:paraId="48BC8267"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64E5987"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Connexion</w:t>
            </w:r>
            <w:proofErr w:type="spellEnd"/>
            <w:r>
              <w:rPr>
                <w:rFonts w:ascii="Google Sans" w:eastAsia="Google Sans" w:hAnsi="Google Sans" w:cs="Google Sans"/>
                <w:color w:val="1F1F1F"/>
              </w:rPr>
              <w:t xml:space="preserve"> Communautaire &amp; Inclusion</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6CD55F4"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15 %</w:t>
            </w:r>
          </w:p>
        </w:tc>
        <w:tc>
          <w:tcPr>
            <w:tcW w:w="54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E67372D"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Légitimité et représentativité communautaires ; engagement démontré auprès des adolescents ; stratégies crédibles pour atteindre les groupes mal desservis ; et compréhension des barrières locales, des lacunes dans les services et des modèles de vulnérabilité.</w:t>
            </w:r>
          </w:p>
        </w:tc>
      </w:tr>
      <w:tr w:rsidR="00E25B9F" w:rsidRPr="0020222E" w14:paraId="12C46D50"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2E38715"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lastRenderedPageBreak/>
              <w:t>Partenariats et Engagement des Parties Prenantes</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DC1E60D"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10 %</w:t>
            </w:r>
          </w:p>
        </w:tc>
        <w:tc>
          <w:tcPr>
            <w:tcW w:w="54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2A36E1F"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Complémentarité de l'OSC chef de file et du partenaire ODJ ; clarté des rôles, de la prise de décision, de la redevabilité et de l'allocation des ressources ; et relations ou voies d'engagement crédibles avec le gouvernement, les communautés, les acteurs de l'éducation, les organisations paires et d'autres parties prenantes pertinentes.</w:t>
            </w:r>
          </w:p>
        </w:tc>
      </w:tr>
      <w:tr w:rsidR="00E25B9F" w14:paraId="6CBDE08C"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4A24592"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Total</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053ABA9"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100 %</w:t>
            </w:r>
          </w:p>
        </w:tc>
        <w:tc>
          <w:tcPr>
            <w:tcW w:w="54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4ED4006" w14:textId="77777777" w:rsidR="00E25B9F" w:rsidRDefault="00E25B9F">
            <w:pPr>
              <w:pBdr>
                <w:top w:val="nil"/>
                <w:left w:val="nil"/>
                <w:bottom w:val="nil"/>
                <w:right w:val="nil"/>
                <w:between w:val="nil"/>
              </w:pBdr>
              <w:spacing w:line="276" w:lineRule="auto"/>
              <w:rPr>
                <w:rFonts w:ascii="Google Sans" w:eastAsia="Google Sans" w:hAnsi="Google Sans" w:cs="Google Sans"/>
                <w:color w:val="1F1F1F"/>
              </w:rPr>
            </w:pPr>
          </w:p>
        </w:tc>
      </w:tr>
    </w:tbl>
    <w:p w14:paraId="4B5C47CE"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b/>
          <w:bCs/>
          <w:color w:val="1F1F1F"/>
          <w:lang w:val="fr-FR"/>
        </w:rPr>
      </w:pPr>
      <w:r w:rsidRPr="0020222E">
        <w:rPr>
          <w:rFonts w:ascii="Google Sans" w:eastAsia="Google Sans" w:hAnsi="Google Sans" w:cs="Google Sans"/>
          <w:b/>
          <w:bCs/>
          <w:color w:val="1F1F1F"/>
          <w:lang w:val="fr-FR"/>
        </w:rPr>
        <w:t>Critères d'Évaluation de la Proposition Complète du Niveau 2</w:t>
      </w:r>
    </w:p>
    <w:p w14:paraId="2E3B87DF" w14:textId="77777777" w:rsidR="00E25B9F" w:rsidRPr="0020222E" w:rsidRDefault="00E25B9F">
      <w:pPr>
        <w:pBdr>
          <w:top w:val="nil"/>
          <w:left w:val="nil"/>
          <w:bottom w:val="nil"/>
          <w:right w:val="nil"/>
          <w:between w:val="nil"/>
        </w:pBdr>
        <w:spacing w:line="275" w:lineRule="auto"/>
        <w:rPr>
          <w:rFonts w:ascii="Google Sans" w:eastAsia="Google Sans" w:hAnsi="Google Sans" w:cs="Google Sans"/>
          <w:b/>
          <w:bCs/>
          <w:color w:val="1F1F1F"/>
          <w:lang w:val="fr-FR"/>
        </w:rPr>
      </w:pPr>
    </w:p>
    <w:tbl>
      <w:tblPr>
        <w:tblStyle w:val="a2"/>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325"/>
        <w:gridCol w:w="1575"/>
        <w:gridCol w:w="5460"/>
      </w:tblGrid>
      <w:tr w:rsidR="00E25B9F" w14:paraId="4834869A" w14:textId="77777777">
        <w:tc>
          <w:tcPr>
            <w:tcW w:w="2325"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3CD84E47"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Critère</w:t>
            </w:r>
            <w:proofErr w:type="spellEnd"/>
          </w:p>
        </w:tc>
        <w:tc>
          <w:tcPr>
            <w:tcW w:w="1575"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513FD295"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Pondération</w:t>
            </w:r>
            <w:proofErr w:type="spellEnd"/>
          </w:p>
        </w:tc>
        <w:tc>
          <w:tcPr>
            <w:tcW w:w="546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187E8156"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r>
              <w:rPr>
                <w:rFonts w:ascii="Google Sans" w:eastAsia="Google Sans" w:hAnsi="Google Sans" w:cs="Google Sans"/>
                <w:b/>
                <w:bCs/>
                <w:color w:val="1F1F1F"/>
              </w:rPr>
              <w:t xml:space="preserve">Ce qui sera </w:t>
            </w:r>
            <w:proofErr w:type="spellStart"/>
            <w:r>
              <w:rPr>
                <w:rFonts w:ascii="Google Sans" w:eastAsia="Google Sans" w:hAnsi="Google Sans" w:cs="Google Sans"/>
                <w:b/>
                <w:bCs/>
                <w:color w:val="1F1F1F"/>
              </w:rPr>
              <w:t>évalué</w:t>
            </w:r>
            <w:proofErr w:type="spellEnd"/>
          </w:p>
        </w:tc>
      </w:tr>
      <w:tr w:rsidR="00E25B9F" w:rsidRPr="0020222E" w14:paraId="4709D0E7"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21C8AED"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Pertinence Technique &amp; </w:t>
            </w:r>
            <w:proofErr w:type="spellStart"/>
            <w:r>
              <w:rPr>
                <w:rFonts w:ascii="Google Sans" w:eastAsia="Google Sans" w:hAnsi="Google Sans" w:cs="Google Sans"/>
                <w:color w:val="1F1F1F"/>
              </w:rPr>
              <w:t>Qualité</w:t>
            </w:r>
            <w:proofErr w:type="spellEnd"/>
          </w:p>
        </w:tc>
        <w:tc>
          <w:tcPr>
            <w:tcW w:w="15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C0A7CCA"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20 %</w:t>
            </w:r>
          </w:p>
        </w:tc>
        <w:tc>
          <w:tcPr>
            <w:tcW w:w="54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962314A"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Alignement avec un ou plusieurs domaines prioritaires éligibles et les priorités nationales et du GFF ; qualité de l'analyse contextuelle, des objectifs, des résultats attendus, de la population cible, de la théorie du changement, de la méthodologie, des normes de mise en œuvre, des voies de référencement, de la base de preuves, des indicateurs de suivi, de la recherche opérationnelle et du plan d'évaluation des coûts ou d'apprentissage.</w:t>
            </w:r>
          </w:p>
        </w:tc>
      </w:tr>
      <w:tr w:rsidR="00E25B9F" w:rsidRPr="0020222E" w14:paraId="1A615067"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EA012D8"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Innovation &amp; </w:t>
            </w:r>
            <w:proofErr w:type="spellStart"/>
            <w:r>
              <w:rPr>
                <w:rFonts w:ascii="Google Sans" w:eastAsia="Google Sans" w:hAnsi="Google Sans" w:cs="Google Sans"/>
                <w:color w:val="1F1F1F"/>
              </w:rPr>
              <w:t>Évolutivité</w:t>
            </w:r>
            <w:proofErr w:type="spellEnd"/>
          </w:p>
        </w:tc>
        <w:tc>
          <w:tcPr>
            <w:tcW w:w="15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DFFDC02"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20 %</w:t>
            </w:r>
          </w:p>
        </w:tc>
        <w:tc>
          <w:tcPr>
            <w:tcW w:w="54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BA81604"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Force et faisabilité de la voie de mise à l'échelle proposée, y compris l'expansion géographique, l'institutionnalisation, la réplication, l'adaptation ou la diversification ; phases de mise en œuvre, jalons, conditions de préparation, assurance qualité, atténuation des risques et potentiel d'intégration au sein des systèmes nationaux.</w:t>
            </w:r>
          </w:p>
        </w:tc>
      </w:tr>
      <w:tr w:rsidR="00E25B9F" w:rsidRPr="0020222E" w14:paraId="5785A6F0"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25634B2"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proofErr w:type="spellStart"/>
            <w:r>
              <w:rPr>
                <w:rFonts w:ascii="Google Sans" w:eastAsia="Google Sans" w:hAnsi="Google Sans" w:cs="Google Sans"/>
                <w:color w:val="1F1F1F"/>
              </w:rPr>
              <w:t>Capacité</w:t>
            </w:r>
            <w:proofErr w:type="spellEnd"/>
            <w:r>
              <w:rPr>
                <w:rFonts w:ascii="Google Sans" w:eastAsia="Google Sans" w:hAnsi="Google Sans" w:cs="Google Sans"/>
                <w:color w:val="1F1F1F"/>
              </w:rPr>
              <w:t xml:space="preserve"> </w:t>
            </w:r>
            <w:proofErr w:type="spellStart"/>
            <w:r>
              <w:rPr>
                <w:rFonts w:ascii="Google Sans" w:eastAsia="Google Sans" w:hAnsi="Google Sans" w:cs="Google Sans"/>
                <w:color w:val="1F1F1F"/>
              </w:rPr>
              <w:t>Organisationnelle</w:t>
            </w:r>
            <w:proofErr w:type="spellEnd"/>
          </w:p>
        </w:tc>
        <w:tc>
          <w:tcPr>
            <w:tcW w:w="15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03049C2"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15 %</w:t>
            </w:r>
          </w:p>
        </w:tc>
        <w:tc>
          <w:tcPr>
            <w:tcW w:w="54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78A810D"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 xml:space="preserve">Expérience en matière de santé et de nutrition des adolescents ; gouvernance du consortium et division des responsabilités ; structure de gestion et de personnel ; qualifications du personnel clé ; contrôles internes, approvisionnement, historique </w:t>
            </w:r>
            <w:r w:rsidRPr="0020222E">
              <w:rPr>
                <w:rFonts w:ascii="Google Sans" w:eastAsia="Google Sans" w:hAnsi="Google Sans" w:cs="Google Sans"/>
                <w:color w:val="1F1F1F"/>
                <w:lang w:val="fr-FR"/>
              </w:rPr>
              <w:lastRenderedPageBreak/>
              <w:t>d'audit, préparation fiduciaire, capacité de sauvegarde et gestion des risques.</w:t>
            </w:r>
          </w:p>
        </w:tc>
      </w:tr>
      <w:tr w:rsidR="00E25B9F" w:rsidRPr="0020222E" w14:paraId="6DAF3B6B"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D622F83"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lastRenderedPageBreak/>
              <w:t>Engagement &amp; Influence</w:t>
            </w:r>
          </w:p>
        </w:tc>
        <w:tc>
          <w:tcPr>
            <w:tcW w:w="15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AC584C3"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15 %</w:t>
            </w:r>
          </w:p>
        </w:tc>
        <w:tc>
          <w:tcPr>
            <w:tcW w:w="54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831452"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Relations et plans d'engagement avec le gouvernement, les autorités sanitaires, les communautés, la société civile, les réseaux de jeunes, les parties prenantes du GFF et de la Banque mondiale, les donateurs et les partenaires techniques ; qualité du plan de plaidoyer ; participation des adolescents ; contributions à la Communauté de Pratique ; et identification de champions locaux pour l'intégration des politiques et des systèmes.</w:t>
            </w:r>
          </w:p>
        </w:tc>
      </w:tr>
      <w:tr w:rsidR="00E25B9F" w:rsidRPr="0020222E" w14:paraId="552C344D"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6876976"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Inclusion &amp; </w:t>
            </w:r>
            <w:proofErr w:type="spellStart"/>
            <w:r>
              <w:rPr>
                <w:rFonts w:ascii="Google Sans" w:eastAsia="Google Sans" w:hAnsi="Google Sans" w:cs="Google Sans"/>
                <w:color w:val="1F1F1F"/>
              </w:rPr>
              <w:t>Équité</w:t>
            </w:r>
            <w:proofErr w:type="spellEnd"/>
          </w:p>
        </w:tc>
        <w:tc>
          <w:tcPr>
            <w:tcW w:w="15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3E5BBCB"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10 %</w:t>
            </w:r>
          </w:p>
        </w:tc>
        <w:tc>
          <w:tcPr>
            <w:tcW w:w="54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F623230"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Analyse du genre et de l'équité ; cibles d'inclusion mesurables ; stratégies et adaptations pour les adolescents marginalisés ; leadership significatif des jeunes ; portée et avantages équitables ; PSEA, sauvegarde, canaux de plaintes confidentiels, voies de référencement des survivants et participation sûre.</w:t>
            </w:r>
          </w:p>
        </w:tc>
      </w:tr>
      <w:tr w:rsidR="00E25B9F" w:rsidRPr="0020222E" w14:paraId="11106EDE"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BDF5826" w14:textId="77777777" w:rsidR="00E25B9F" w:rsidRPr="0020222E" w:rsidRDefault="003D6A3A">
            <w:pPr>
              <w:pBdr>
                <w:top w:val="nil"/>
                <w:left w:val="nil"/>
                <w:bottom w:val="nil"/>
                <w:right w:val="nil"/>
                <w:between w:val="nil"/>
              </w:pBdr>
              <w:spacing w:before="120" w:after="120"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Durabilité &amp; Stratégie de Sortie à Long Terme</w:t>
            </w:r>
          </w:p>
        </w:tc>
        <w:tc>
          <w:tcPr>
            <w:tcW w:w="15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2456C0A"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10 %</w:t>
            </w:r>
          </w:p>
        </w:tc>
        <w:tc>
          <w:tcPr>
            <w:tcW w:w="54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C4EAB5A"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Faisabilité de la durabilité financière et institutionnelle ; plaidoyer pour le budget national ; appropriation et transfert de capacités ; coûts récurrents et sources de financement ; institutionnalisation, passation et jalons de sortie ; et indicateurs pour suivre la préparation à la durabilité.</w:t>
            </w:r>
          </w:p>
        </w:tc>
      </w:tr>
      <w:tr w:rsidR="00E25B9F" w:rsidRPr="0020222E" w14:paraId="2DC382B5"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E7A05F4"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 xml:space="preserve">Rapport </w:t>
            </w:r>
            <w:proofErr w:type="spellStart"/>
            <w:r>
              <w:rPr>
                <w:rFonts w:ascii="Google Sans" w:eastAsia="Google Sans" w:hAnsi="Google Sans" w:cs="Google Sans"/>
                <w:color w:val="1F1F1F"/>
              </w:rPr>
              <w:t>Qualité</w:t>
            </w:r>
            <w:proofErr w:type="spellEnd"/>
            <w:r>
              <w:rPr>
                <w:rFonts w:ascii="Google Sans" w:eastAsia="Google Sans" w:hAnsi="Google Sans" w:cs="Google Sans"/>
                <w:color w:val="1F1F1F"/>
              </w:rPr>
              <w:t>-Prix</w:t>
            </w:r>
          </w:p>
        </w:tc>
        <w:tc>
          <w:tcPr>
            <w:tcW w:w="15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A432A2B"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10 %</w:t>
            </w:r>
          </w:p>
        </w:tc>
        <w:tc>
          <w:tcPr>
            <w:tcW w:w="54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B5AD3B"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Économie, efficience, efficacité et équité ; caractère raisonnable des principaux inducteurs de coûts, des coûts unitaires, des hypothèses de dotation en personnel et d'approvisionnement ; coût par bénéficiaire ; comparaison des alternatives de prestation ; et capacité à atteindre des résultats sans compromettre la qualité, l'inclusion ou la sauvegarde.</w:t>
            </w:r>
          </w:p>
        </w:tc>
      </w:tr>
      <w:tr w:rsidR="00E25B9F" w14:paraId="07E56395" w14:textId="77777777">
        <w:tc>
          <w:tcPr>
            <w:tcW w:w="23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07A1E2A"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Total</w:t>
            </w:r>
          </w:p>
        </w:tc>
        <w:tc>
          <w:tcPr>
            <w:tcW w:w="15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7E404E1"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100 %</w:t>
            </w:r>
          </w:p>
        </w:tc>
        <w:tc>
          <w:tcPr>
            <w:tcW w:w="54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19BFA7C" w14:textId="77777777" w:rsidR="00E25B9F" w:rsidRDefault="00E25B9F">
            <w:pPr>
              <w:pBdr>
                <w:top w:val="nil"/>
                <w:left w:val="nil"/>
                <w:bottom w:val="nil"/>
                <w:right w:val="nil"/>
                <w:between w:val="nil"/>
              </w:pBdr>
              <w:spacing w:line="276" w:lineRule="auto"/>
              <w:rPr>
                <w:rFonts w:ascii="Google Sans" w:eastAsia="Google Sans" w:hAnsi="Google Sans" w:cs="Google Sans"/>
                <w:color w:val="1F1F1F"/>
              </w:rPr>
            </w:pPr>
          </w:p>
        </w:tc>
      </w:tr>
    </w:tbl>
    <w:p w14:paraId="0629FA6A" w14:textId="77777777" w:rsidR="00E25B9F" w:rsidRDefault="003D6A3A">
      <w:pPr>
        <w:pBdr>
          <w:top w:val="nil"/>
          <w:left w:val="nil"/>
          <w:bottom w:val="nil"/>
          <w:right w:val="nil"/>
          <w:between w:val="nil"/>
        </w:pBdr>
        <w:spacing w:line="275" w:lineRule="auto"/>
        <w:rPr>
          <w:rFonts w:ascii="Google Sans" w:eastAsia="Google Sans" w:hAnsi="Google Sans" w:cs="Google Sans"/>
          <w:b/>
          <w:bCs/>
          <w:color w:val="1F1F1F"/>
        </w:rPr>
      </w:pPr>
      <w:r>
        <w:rPr>
          <w:rFonts w:ascii="Google Sans" w:eastAsia="Google Sans" w:hAnsi="Google Sans" w:cs="Google Sans"/>
          <w:b/>
          <w:bCs/>
          <w:color w:val="1F1F1F"/>
        </w:rPr>
        <w:lastRenderedPageBreak/>
        <w:t xml:space="preserve">J. Dates </w:t>
      </w:r>
      <w:proofErr w:type="spellStart"/>
      <w:r>
        <w:rPr>
          <w:rFonts w:ascii="Google Sans" w:eastAsia="Google Sans" w:hAnsi="Google Sans" w:cs="Google Sans"/>
          <w:b/>
          <w:bCs/>
          <w:color w:val="1F1F1F"/>
        </w:rPr>
        <w:t>Clés</w:t>
      </w:r>
      <w:proofErr w:type="spellEnd"/>
    </w:p>
    <w:p w14:paraId="1378593A" w14:textId="77777777" w:rsidR="00E25B9F" w:rsidRDefault="00E25B9F">
      <w:pPr>
        <w:pBdr>
          <w:top w:val="nil"/>
          <w:left w:val="nil"/>
          <w:bottom w:val="nil"/>
          <w:right w:val="nil"/>
          <w:between w:val="nil"/>
        </w:pBdr>
        <w:spacing w:line="275" w:lineRule="auto"/>
        <w:rPr>
          <w:rFonts w:ascii="Google Sans" w:eastAsia="Google Sans" w:hAnsi="Google Sans" w:cs="Google Sans"/>
          <w:b/>
          <w:bCs/>
          <w:color w:val="1F1F1F"/>
        </w:rPr>
      </w:pPr>
    </w:p>
    <w:tbl>
      <w:tblPr>
        <w:tblStyle w:val="a3"/>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720"/>
        <w:gridCol w:w="6330"/>
        <w:gridCol w:w="2310"/>
      </w:tblGrid>
      <w:tr w:rsidR="00E25B9F" w14:paraId="7B31DBBD" w14:textId="77777777">
        <w:tc>
          <w:tcPr>
            <w:tcW w:w="72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0B03B9B3"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r>
              <w:rPr>
                <w:rFonts w:ascii="Google Sans" w:eastAsia="Google Sans" w:hAnsi="Google Sans" w:cs="Google Sans"/>
                <w:b/>
                <w:bCs/>
                <w:color w:val="1F1F1F"/>
              </w:rPr>
              <w:t>#</w:t>
            </w:r>
          </w:p>
        </w:tc>
        <w:tc>
          <w:tcPr>
            <w:tcW w:w="633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28F7C146"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Activité</w:t>
            </w:r>
            <w:proofErr w:type="spellEnd"/>
            <w:r>
              <w:rPr>
                <w:rFonts w:ascii="Google Sans" w:eastAsia="Google Sans" w:hAnsi="Google Sans" w:cs="Google Sans"/>
                <w:b/>
                <w:bCs/>
                <w:color w:val="1F1F1F"/>
              </w:rPr>
              <w:t xml:space="preserve"> et </w:t>
            </w:r>
            <w:proofErr w:type="spellStart"/>
            <w:r>
              <w:rPr>
                <w:rFonts w:ascii="Google Sans" w:eastAsia="Google Sans" w:hAnsi="Google Sans" w:cs="Google Sans"/>
                <w:b/>
                <w:bCs/>
                <w:color w:val="1F1F1F"/>
              </w:rPr>
              <w:t>Jalons</w:t>
            </w:r>
            <w:proofErr w:type="spellEnd"/>
          </w:p>
        </w:tc>
        <w:tc>
          <w:tcPr>
            <w:tcW w:w="231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43BE6B94"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Calendrier</w:t>
            </w:r>
            <w:proofErr w:type="spellEnd"/>
          </w:p>
        </w:tc>
      </w:tr>
      <w:tr w:rsidR="00E25B9F" w14:paraId="1DE65DA1"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2C7CCBC"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1</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061181"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Lancement du projet ALIGN</w:t>
            </w:r>
            <w:r w:rsidRPr="0020222E">
              <w:rPr>
                <w:rFonts w:ascii="Google Sans" w:eastAsia="Google Sans" w:hAnsi="Google Sans" w:cs="Google Sans"/>
                <w:color w:val="1F1F1F"/>
                <w:lang w:val="fr-FR"/>
              </w:rPr>
              <w:t xml:space="preserve"> Lancement du Pilier 2 GFF x CIVIC et annonce de l'Appel à Propositions et de la Communauté de Pratique.</w:t>
            </w: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1DA4719"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6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14:paraId="22592B60"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9A2B145"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2</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1777E5A"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Webinaires d'orientation sur l'appel à propositions</w:t>
            </w:r>
            <w:r w:rsidRPr="0020222E">
              <w:rPr>
                <w:rFonts w:ascii="Google Sans" w:eastAsia="Google Sans" w:hAnsi="Google Sans" w:cs="Google Sans"/>
                <w:color w:val="1F1F1F"/>
                <w:lang w:val="fr-FR"/>
              </w:rPr>
              <w:t xml:space="preserve"> Organiser des webinaires en consultation avec les équipes pays d'ACF ; ouvrir le portail de candidature ; et publier la FAQ.</w:t>
            </w: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0373E2D"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7–8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14:paraId="16F626FB"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1E1D259"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3</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F4F7D51" w14:textId="77777777" w:rsidR="00E25B9F" w:rsidRDefault="003D6A3A">
            <w:pPr>
              <w:pBdr>
                <w:top w:val="nil"/>
                <w:left w:val="nil"/>
                <w:bottom w:val="nil"/>
                <w:right w:val="nil"/>
                <w:between w:val="nil"/>
              </w:pBdr>
              <w:spacing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Soumission</w:t>
            </w:r>
            <w:proofErr w:type="spellEnd"/>
            <w:r>
              <w:rPr>
                <w:rFonts w:ascii="Google Sans" w:eastAsia="Google Sans" w:hAnsi="Google Sans" w:cs="Google Sans"/>
                <w:b/>
                <w:bCs/>
                <w:color w:val="1F1F1F"/>
              </w:rPr>
              <w:t xml:space="preserve"> de Questions de Clarification</w:t>
            </w:r>
          </w:p>
          <w:p w14:paraId="0787763A" w14:textId="77777777" w:rsidR="00E25B9F" w:rsidRDefault="00E25B9F">
            <w:pPr>
              <w:pBdr>
                <w:top w:val="nil"/>
                <w:left w:val="nil"/>
                <w:bottom w:val="nil"/>
                <w:right w:val="nil"/>
                <w:between w:val="nil"/>
              </w:pBdr>
              <w:spacing w:line="275" w:lineRule="auto"/>
              <w:rPr>
                <w:rFonts w:ascii="Google Sans" w:eastAsia="Google Sans" w:hAnsi="Google Sans" w:cs="Google Sans"/>
                <w:b/>
                <w:bCs/>
                <w:color w:val="1F1F1F"/>
              </w:rPr>
            </w:pP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2CF54D3"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7–8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14:paraId="2473F020"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C421644"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4</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E5D198E" w14:textId="77777777" w:rsidR="00E25B9F" w:rsidRDefault="003D6A3A">
            <w:pPr>
              <w:pBdr>
                <w:top w:val="nil"/>
                <w:left w:val="nil"/>
                <w:bottom w:val="nil"/>
                <w:right w:val="nil"/>
                <w:between w:val="nil"/>
              </w:pBdr>
              <w:spacing w:line="275" w:lineRule="auto"/>
              <w:rPr>
                <w:rFonts w:ascii="Google Sans" w:eastAsia="Google Sans" w:hAnsi="Google Sans" w:cs="Google Sans"/>
                <w:b/>
                <w:bCs/>
                <w:color w:val="1F1F1F"/>
              </w:rPr>
            </w:pPr>
            <w:proofErr w:type="spellStart"/>
            <w:r>
              <w:rPr>
                <w:rFonts w:ascii="Google Sans" w:eastAsia="Google Sans" w:hAnsi="Google Sans" w:cs="Google Sans"/>
                <w:b/>
                <w:bCs/>
                <w:color w:val="1F1F1F"/>
              </w:rPr>
              <w:t>Réponses</w:t>
            </w:r>
            <w:proofErr w:type="spellEnd"/>
            <w:r>
              <w:rPr>
                <w:rFonts w:ascii="Google Sans" w:eastAsia="Google Sans" w:hAnsi="Google Sans" w:cs="Google Sans"/>
                <w:b/>
                <w:bCs/>
                <w:color w:val="1F1F1F"/>
              </w:rPr>
              <w:t xml:space="preserve"> aux Questions de Clarification</w:t>
            </w:r>
          </w:p>
          <w:p w14:paraId="24AA10F6" w14:textId="77777777" w:rsidR="00E25B9F" w:rsidRDefault="00E25B9F">
            <w:pPr>
              <w:pBdr>
                <w:top w:val="nil"/>
                <w:left w:val="nil"/>
                <w:bottom w:val="nil"/>
                <w:right w:val="nil"/>
                <w:between w:val="nil"/>
              </w:pBdr>
              <w:spacing w:line="275" w:lineRule="auto"/>
              <w:rPr>
                <w:rFonts w:ascii="Google Sans" w:eastAsia="Google Sans" w:hAnsi="Google Sans" w:cs="Google Sans"/>
                <w:b/>
                <w:bCs/>
                <w:color w:val="1F1F1F"/>
              </w:rPr>
            </w:pP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B5985EF"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10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14:paraId="739489CB"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ECFCE59"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5</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52BF430"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b/>
                <w:bCs/>
                <w:color w:val="1F1F1F"/>
                <w:lang w:val="fr-FR"/>
              </w:rPr>
            </w:pPr>
            <w:r w:rsidRPr="0020222E">
              <w:rPr>
                <w:rFonts w:ascii="Google Sans" w:eastAsia="Google Sans" w:hAnsi="Google Sans" w:cs="Google Sans"/>
                <w:b/>
                <w:bCs/>
                <w:color w:val="1F1F1F"/>
                <w:lang w:val="fr-FR"/>
              </w:rPr>
              <w:t>Fenêtre de candidature AMI Niveau 1</w:t>
            </w:r>
          </w:p>
          <w:p w14:paraId="1243B6B3" w14:textId="77777777" w:rsidR="00E25B9F" w:rsidRPr="0020222E" w:rsidRDefault="00E25B9F">
            <w:pPr>
              <w:pBdr>
                <w:top w:val="nil"/>
                <w:left w:val="nil"/>
                <w:bottom w:val="nil"/>
                <w:right w:val="nil"/>
                <w:between w:val="nil"/>
              </w:pBdr>
              <w:spacing w:line="275" w:lineRule="auto"/>
              <w:rPr>
                <w:rFonts w:ascii="Google Sans" w:eastAsia="Google Sans" w:hAnsi="Google Sans" w:cs="Google Sans"/>
                <w:b/>
                <w:bCs/>
                <w:color w:val="1F1F1F"/>
                <w:lang w:val="fr-FR"/>
              </w:rPr>
            </w:pP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AC49BA9"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7–21 </w:t>
            </w:r>
            <w:proofErr w:type="spellStart"/>
            <w:r>
              <w:rPr>
                <w:rFonts w:ascii="Google Sans" w:eastAsia="Google Sans" w:hAnsi="Google Sans" w:cs="Google Sans"/>
                <w:color w:val="1F1F1F"/>
              </w:rPr>
              <w:t>octobre</w:t>
            </w:r>
            <w:proofErr w:type="spellEnd"/>
            <w:r>
              <w:rPr>
                <w:rFonts w:ascii="Google Sans" w:eastAsia="Google Sans" w:hAnsi="Google Sans" w:cs="Google Sans"/>
                <w:color w:val="1F1F1F"/>
              </w:rPr>
              <w:t xml:space="preserve"> 2026</w:t>
            </w:r>
          </w:p>
        </w:tc>
      </w:tr>
      <w:tr w:rsidR="00E25B9F" w14:paraId="4970A6D2"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4772410"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6</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9AF4246"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b/>
                <w:bCs/>
                <w:color w:val="1F1F1F"/>
                <w:lang w:val="fr-FR"/>
              </w:rPr>
            </w:pPr>
            <w:r w:rsidRPr="0020222E">
              <w:rPr>
                <w:rFonts w:ascii="Google Sans" w:eastAsia="Google Sans" w:hAnsi="Google Sans" w:cs="Google Sans"/>
                <w:b/>
                <w:bCs/>
                <w:color w:val="1F1F1F"/>
                <w:lang w:val="fr-FR"/>
              </w:rPr>
              <w:t>Approbation de la liste restreinte et notification pour la proposition complète</w:t>
            </w:r>
          </w:p>
          <w:p w14:paraId="238E1D58" w14:textId="77777777" w:rsidR="00E25B9F" w:rsidRPr="0020222E" w:rsidRDefault="00E25B9F">
            <w:pPr>
              <w:pBdr>
                <w:top w:val="nil"/>
                <w:left w:val="nil"/>
                <w:bottom w:val="nil"/>
                <w:right w:val="nil"/>
                <w:between w:val="nil"/>
              </w:pBdr>
              <w:spacing w:line="275" w:lineRule="auto"/>
              <w:rPr>
                <w:rFonts w:ascii="Google Sans" w:eastAsia="Google Sans" w:hAnsi="Google Sans" w:cs="Google Sans"/>
                <w:b/>
                <w:bCs/>
                <w:color w:val="1F1F1F"/>
                <w:lang w:val="fr-FR"/>
              </w:rPr>
            </w:pP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E088F5D"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2 </w:t>
            </w:r>
            <w:proofErr w:type="spellStart"/>
            <w:r>
              <w:rPr>
                <w:rFonts w:ascii="Google Sans" w:eastAsia="Google Sans" w:hAnsi="Google Sans" w:cs="Google Sans"/>
                <w:color w:val="1F1F1F"/>
              </w:rPr>
              <w:t>novembre</w:t>
            </w:r>
            <w:proofErr w:type="spellEnd"/>
            <w:r>
              <w:rPr>
                <w:rFonts w:ascii="Google Sans" w:eastAsia="Google Sans" w:hAnsi="Google Sans" w:cs="Google Sans"/>
                <w:color w:val="1F1F1F"/>
              </w:rPr>
              <w:t xml:space="preserve"> 2026</w:t>
            </w:r>
          </w:p>
        </w:tc>
      </w:tr>
      <w:tr w:rsidR="00E25B9F" w14:paraId="4C6DF3F3"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1BC9D6F"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7</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BF06851"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Fenêtre de soumission des propositions complètes de Niveau 2</w:t>
            </w:r>
            <w:r w:rsidRPr="0020222E">
              <w:rPr>
                <w:rFonts w:ascii="Google Sans" w:eastAsia="Google Sans" w:hAnsi="Google Sans" w:cs="Google Sans"/>
                <w:color w:val="1F1F1F"/>
                <w:lang w:val="fr-FR"/>
              </w:rPr>
              <w:t xml:space="preserve"> Les candidats présélectionnés préparent et soumettent des propositions complètes.</w:t>
            </w: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0DEBFBA"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2–16 </w:t>
            </w:r>
            <w:proofErr w:type="spellStart"/>
            <w:r>
              <w:rPr>
                <w:rFonts w:ascii="Google Sans" w:eastAsia="Google Sans" w:hAnsi="Google Sans" w:cs="Google Sans"/>
                <w:color w:val="1F1F1F"/>
              </w:rPr>
              <w:t>novembre</w:t>
            </w:r>
            <w:proofErr w:type="spellEnd"/>
            <w:r>
              <w:rPr>
                <w:rFonts w:ascii="Google Sans" w:eastAsia="Google Sans" w:hAnsi="Google Sans" w:cs="Google Sans"/>
                <w:color w:val="1F1F1F"/>
              </w:rPr>
              <w:t xml:space="preserve"> 2026</w:t>
            </w:r>
          </w:p>
        </w:tc>
      </w:tr>
      <w:tr w:rsidR="00E25B9F" w14:paraId="72017429"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1347FA7"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8</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612035B"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b/>
                <w:bCs/>
                <w:color w:val="1F1F1F"/>
                <w:lang w:val="fr-FR"/>
              </w:rPr>
              <w:t>Évaluation des propositions complètes</w:t>
            </w:r>
            <w:r w:rsidRPr="0020222E">
              <w:rPr>
                <w:rFonts w:ascii="Google Sans" w:eastAsia="Google Sans" w:hAnsi="Google Sans" w:cs="Google Sans"/>
                <w:color w:val="1F1F1F"/>
                <w:lang w:val="fr-FR"/>
              </w:rPr>
              <w:t xml:space="preserve"> L'Unité de Mise en Œuvre du Projet (PIU), les bureaux de pays d'ACF et un organisme indépendant externe (si nécessaire) évaluent les propositions présélectionnées.</w:t>
            </w: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C17A428"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17–24 </w:t>
            </w:r>
            <w:proofErr w:type="spellStart"/>
            <w:r>
              <w:rPr>
                <w:rFonts w:ascii="Google Sans" w:eastAsia="Google Sans" w:hAnsi="Google Sans" w:cs="Google Sans"/>
                <w:color w:val="1F1F1F"/>
              </w:rPr>
              <w:t>novembre</w:t>
            </w:r>
            <w:proofErr w:type="spellEnd"/>
            <w:r>
              <w:rPr>
                <w:rFonts w:ascii="Google Sans" w:eastAsia="Google Sans" w:hAnsi="Google Sans" w:cs="Google Sans"/>
                <w:color w:val="1F1F1F"/>
              </w:rPr>
              <w:t xml:space="preserve"> 2026</w:t>
            </w:r>
          </w:p>
        </w:tc>
      </w:tr>
      <w:tr w:rsidR="00E25B9F" w14:paraId="2BF8DBA1" w14:textId="77777777">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CD23CBC" w14:textId="77777777" w:rsidR="00E25B9F" w:rsidRDefault="003D6A3A">
            <w:pPr>
              <w:pBdr>
                <w:top w:val="nil"/>
                <w:left w:val="nil"/>
                <w:bottom w:val="nil"/>
                <w:right w:val="nil"/>
                <w:between w:val="nil"/>
              </w:pBdr>
              <w:spacing w:before="120" w:after="120" w:line="275" w:lineRule="auto"/>
              <w:rPr>
                <w:rFonts w:ascii="Google Sans" w:eastAsia="Google Sans" w:hAnsi="Google Sans" w:cs="Google Sans"/>
                <w:color w:val="1F1F1F"/>
              </w:rPr>
            </w:pPr>
            <w:r>
              <w:rPr>
                <w:rFonts w:ascii="Google Sans" w:eastAsia="Google Sans" w:hAnsi="Google Sans" w:cs="Google Sans"/>
                <w:color w:val="1F1F1F"/>
              </w:rPr>
              <w:t>9</w:t>
            </w:r>
          </w:p>
        </w:tc>
        <w:tc>
          <w:tcPr>
            <w:tcW w:w="6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870CB3E"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b/>
                <w:bCs/>
                <w:color w:val="1F1F1F"/>
                <w:lang w:val="fr-FR"/>
              </w:rPr>
            </w:pPr>
            <w:r w:rsidRPr="0020222E">
              <w:rPr>
                <w:rFonts w:ascii="Google Sans" w:eastAsia="Google Sans" w:hAnsi="Google Sans" w:cs="Google Sans"/>
                <w:b/>
                <w:bCs/>
                <w:color w:val="1F1F1F"/>
                <w:lang w:val="fr-FR"/>
              </w:rPr>
              <w:t>Annonce publique du Sous-bénéficiaire sélectionné</w:t>
            </w:r>
          </w:p>
          <w:p w14:paraId="4A31E649" w14:textId="77777777" w:rsidR="00E25B9F" w:rsidRPr="0020222E" w:rsidRDefault="00E25B9F">
            <w:pPr>
              <w:pBdr>
                <w:top w:val="nil"/>
                <w:left w:val="nil"/>
                <w:bottom w:val="nil"/>
                <w:right w:val="nil"/>
                <w:between w:val="nil"/>
              </w:pBdr>
              <w:spacing w:line="275" w:lineRule="auto"/>
              <w:rPr>
                <w:rFonts w:ascii="Google Sans" w:eastAsia="Google Sans" w:hAnsi="Google Sans" w:cs="Google Sans"/>
                <w:b/>
                <w:bCs/>
                <w:color w:val="1F1F1F"/>
                <w:lang w:val="fr-FR"/>
              </w:rPr>
            </w:pPr>
          </w:p>
        </w:tc>
        <w:tc>
          <w:tcPr>
            <w:tcW w:w="23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75C5369" w14:textId="77777777" w:rsidR="00E25B9F" w:rsidRDefault="003D6A3A">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30 </w:t>
            </w:r>
            <w:proofErr w:type="spellStart"/>
            <w:r>
              <w:rPr>
                <w:rFonts w:ascii="Google Sans" w:eastAsia="Google Sans" w:hAnsi="Google Sans" w:cs="Google Sans"/>
                <w:color w:val="1F1F1F"/>
              </w:rPr>
              <w:t>novembre</w:t>
            </w:r>
            <w:proofErr w:type="spellEnd"/>
            <w:r>
              <w:rPr>
                <w:rFonts w:ascii="Google Sans" w:eastAsia="Google Sans" w:hAnsi="Google Sans" w:cs="Google Sans"/>
                <w:color w:val="1F1F1F"/>
              </w:rPr>
              <w:t xml:space="preserve"> 2026</w:t>
            </w:r>
          </w:p>
        </w:tc>
      </w:tr>
    </w:tbl>
    <w:p w14:paraId="050E8C54" w14:textId="77777777" w:rsidR="00E25B9F" w:rsidRPr="0020222E" w:rsidRDefault="003D6A3A">
      <w:pPr>
        <w:pBdr>
          <w:top w:val="nil"/>
          <w:left w:val="nil"/>
          <w:bottom w:val="nil"/>
          <w:right w:val="nil"/>
          <w:between w:val="nil"/>
        </w:pBdr>
        <w:spacing w:line="275" w:lineRule="auto"/>
        <w:rPr>
          <w:rFonts w:ascii="Google Sans" w:eastAsia="Google Sans" w:hAnsi="Google Sans" w:cs="Google Sans"/>
          <w:color w:val="1F1F1F"/>
          <w:lang w:val="fr-FR"/>
        </w:rPr>
      </w:pPr>
      <w:r w:rsidRPr="0020222E">
        <w:rPr>
          <w:rFonts w:ascii="Google Sans" w:eastAsia="Google Sans" w:hAnsi="Google Sans" w:cs="Google Sans"/>
          <w:color w:val="1F1F1F"/>
          <w:lang w:val="fr-FR"/>
        </w:rPr>
        <w:t>Ces dates suivent le calendrier de la phase de démarrage ci-joint et remplacent les dates provisoires antérieures de cet appel. Le consortium ALIGN peut ajuster le calendrier en fonction des besoins et communiquera les modifications aux candidats.</w:t>
      </w:r>
    </w:p>
    <w:sectPr w:rsidR="00E25B9F" w:rsidRPr="0020222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00206F7D-6B3E-447E-B066-22D9CB58B5DF}"/>
  </w:font>
  <w:font w:name="Google Sans">
    <w:charset w:val="00"/>
    <w:family w:val="auto"/>
    <w:pitch w:val="default"/>
    <w:embedRegular r:id="rId2" w:fontKey="{94EDDBE9-49EF-45B2-84AC-24D8787CDAE8}"/>
    <w:embedBold r:id="rId3" w:fontKey="{5FC700CF-D634-4411-81B4-93E9F26FFFA0}"/>
    <w:embedItalic r:id="rId4" w:fontKey="{4631BB21-E420-44FE-93DC-8E34D49BB71D}"/>
  </w:font>
  <w:font w:name="Calibri">
    <w:panose1 w:val="020F0502020204030204"/>
    <w:charset w:val="00"/>
    <w:family w:val="swiss"/>
    <w:pitch w:val="variable"/>
    <w:sig w:usb0="E4002EFF" w:usb1="C200247B" w:usb2="00000009" w:usb3="00000000" w:csb0="000001FF" w:csb1="00000000"/>
    <w:embedRegular r:id="rId5" w:fontKey="{377313E0-7FE9-4C82-9A43-B0C36BC91239}"/>
  </w:font>
  <w:font w:name="Cambria">
    <w:panose1 w:val="02040503050406030204"/>
    <w:charset w:val="00"/>
    <w:family w:val="roman"/>
    <w:pitch w:val="variable"/>
    <w:sig w:usb0="E00006FF" w:usb1="420024FF" w:usb2="02000000" w:usb3="00000000" w:csb0="0000019F" w:csb1="00000000"/>
    <w:embedRegular r:id="rId6" w:fontKey="{C4261C04-75D1-496F-A61C-FEEA629C2C9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1E22"/>
    <w:multiLevelType w:val="multilevel"/>
    <w:tmpl w:val="869A401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3450396"/>
    <w:multiLevelType w:val="multilevel"/>
    <w:tmpl w:val="D4463F82"/>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414C4B46"/>
    <w:multiLevelType w:val="multilevel"/>
    <w:tmpl w:val="E5B4B4D4"/>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45EB0E87"/>
    <w:multiLevelType w:val="multilevel"/>
    <w:tmpl w:val="14A8CEF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59571C1E"/>
    <w:multiLevelType w:val="multilevel"/>
    <w:tmpl w:val="DB3C4708"/>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26F5CF6"/>
    <w:multiLevelType w:val="multilevel"/>
    <w:tmpl w:val="11927F74"/>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7BE73168"/>
    <w:multiLevelType w:val="multilevel"/>
    <w:tmpl w:val="5EA0B9F8"/>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055397913">
    <w:abstractNumId w:val="1"/>
  </w:num>
  <w:num w:numId="2" w16cid:durableId="140002006">
    <w:abstractNumId w:val="0"/>
  </w:num>
  <w:num w:numId="3" w16cid:durableId="1859870">
    <w:abstractNumId w:val="5"/>
  </w:num>
  <w:num w:numId="4" w16cid:durableId="417286329">
    <w:abstractNumId w:val="3"/>
  </w:num>
  <w:num w:numId="5" w16cid:durableId="108399857">
    <w:abstractNumId w:val="2"/>
  </w:num>
  <w:num w:numId="6" w16cid:durableId="1947884746">
    <w:abstractNumId w:val="6"/>
  </w:num>
  <w:num w:numId="7" w16cid:durableId="460340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B9F"/>
    <w:rsid w:val="0020222E"/>
    <w:rsid w:val="003D6A3A"/>
    <w:rsid w:val="008843E0"/>
    <w:rsid w:val="00E25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977F"/>
  <w15:docId w15:val="{C20633FC-5658-474C-B3BE-9BFA5950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4888</Words>
  <Characters>27866</Characters>
  <Application>Microsoft Office Word</Application>
  <DocSecurity>0</DocSecurity>
  <Lines>232</Lines>
  <Paragraphs>65</Paragraphs>
  <ScaleCrop>false</ScaleCrop>
  <Company/>
  <LinksUpToDate>false</LinksUpToDate>
  <CharactersWithSpaces>32689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Adugna Yimam</dc:creator>
  <cp:lastModifiedBy>Adugna Yimam</cp:lastModifiedBy>
  <cp:revision>2</cp:revision>
  <dcterms:created xsi:type="dcterms:W3CDTF">2026-09-25T04:56:00Z</dcterms:created>
  <dcterms:modified xsi:type="dcterms:W3CDTF">2026-09-25T04:56:00Z</dcterms:modified>
</cp:coreProperties>
</file>